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406" w:rsidRDefault="006A2875">
      <w:pPr>
        <w:spacing w:after="150"/>
      </w:pPr>
      <w:bookmarkStart w:id="0" w:name="_GoBack"/>
      <w:r>
        <w:rPr>
          <w:rFonts w:ascii="Arial"/>
          <w:color w:val="000000"/>
        </w:rPr>
        <w:t>﻿</w:t>
      </w:r>
      <w:r>
        <w:rPr>
          <w:rFonts w:ascii="Arial"/>
          <w:color w:val="000000"/>
        </w:rPr>
        <w:t xml:space="preserve">     </w:t>
      </w:r>
      <w:r>
        <w:rPr>
          <w:color w:val="000000"/>
        </w:rPr>
        <w:t xml:space="preserve">Преузето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FF5406" w:rsidRDefault="006A2875">
      <w:pPr>
        <w:spacing w:after="150"/>
      </w:pPr>
      <w:r>
        <w:rPr>
          <w:color w:val="000000"/>
        </w:rPr>
        <w:t xml:space="preserve">На основу члана 38.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4. Закона о удружењима („Службени гласник РС”, бр. 51/09, 99/11 – др. закон и 99/11 – др. закон) и члана 42.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1. </w:t>
      </w:r>
      <w:r>
        <w:rPr>
          <w:color w:val="000000"/>
        </w:rPr>
        <w:t>Закона о Влади („Службени гласник РС”, бр. 55/05, 71/05 – исправка, 101/07, 65/08, 16/11, 68/12 – УС, 72/12, 7/14 и 44/14),</w:t>
      </w:r>
    </w:p>
    <w:p w:rsidR="00FF5406" w:rsidRDefault="006A2875">
      <w:pPr>
        <w:spacing w:after="150"/>
      </w:pPr>
      <w:r>
        <w:rPr>
          <w:color w:val="000000"/>
        </w:rPr>
        <w:t>Влада доноси</w:t>
      </w:r>
    </w:p>
    <w:p w:rsidR="00FF5406" w:rsidRDefault="006A2875">
      <w:pPr>
        <w:spacing w:after="225"/>
        <w:jc w:val="center"/>
      </w:pPr>
      <w:r>
        <w:rPr>
          <w:b/>
          <w:color w:val="000000"/>
        </w:rPr>
        <w:t>УРЕДБУ</w:t>
      </w:r>
    </w:p>
    <w:p w:rsidR="00FF5406" w:rsidRDefault="006A2875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средствима за подстицање програма или недостајућег дела средстава за финансирање програма од јавног интереса к</w:t>
      </w:r>
      <w:r>
        <w:rPr>
          <w:b/>
          <w:color w:val="000000"/>
        </w:rPr>
        <w:t>оја реализују удружења</w:t>
      </w:r>
    </w:p>
    <w:p w:rsidR="00FF5406" w:rsidRDefault="006A2875">
      <w:pPr>
        <w:spacing w:after="120"/>
        <w:jc w:val="center"/>
      </w:pPr>
      <w:r>
        <w:rPr>
          <w:color w:val="000000"/>
        </w:rPr>
        <w:t xml:space="preserve">"Службени гласник РС", број 16 од 5. </w:t>
      </w:r>
      <w:proofErr w:type="gramStart"/>
      <w:r>
        <w:rPr>
          <w:color w:val="000000"/>
        </w:rPr>
        <w:t>марта</w:t>
      </w:r>
      <w:proofErr w:type="gramEnd"/>
      <w:r>
        <w:rPr>
          <w:color w:val="000000"/>
        </w:rPr>
        <w:t xml:space="preserve"> 2018.</w:t>
      </w:r>
    </w:p>
    <w:p w:rsidR="00FF5406" w:rsidRDefault="006A2875">
      <w:pPr>
        <w:spacing w:after="120"/>
        <w:jc w:val="center"/>
      </w:pPr>
      <w:r>
        <w:rPr>
          <w:color w:val="000000"/>
        </w:rPr>
        <w:t>I. ОСНОВНЕ ОДРЕДБЕ</w:t>
      </w:r>
    </w:p>
    <w:p w:rsidR="00FF5406" w:rsidRDefault="006A2875">
      <w:pPr>
        <w:spacing w:after="120"/>
        <w:jc w:val="center"/>
      </w:pPr>
      <w:r>
        <w:rPr>
          <w:b/>
          <w:color w:val="000000"/>
        </w:rPr>
        <w:t>Садржина уредбе</w:t>
      </w:r>
    </w:p>
    <w:p w:rsidR="00FF5406" w:rsidRDefault="006A2875">
      <w:pPr>
        <w:spacing w:after="120"/>
        <w:jc w:val="center"/>
      </w:pPr>
      <w:r>
        <w:rPr>
          <w:color w:val="000000"/>
        </w:rPr>
        <w:t>Члан 1.</w:t>
      </w:r>
    </w:p>
    <w:p w:rsidR="00FF5406" w:rsidRDefault="006A2875">
      <w:pPr>
        <w:spacing w:after="150"/>
      </w:pPr>
      <w:r>
        <w:rPr>
          <w:color w:val="000000"/>
        </w:rPr>
        <w:t>Овом уредбом ближе се уређују услови, критеријуми, обим, начин, поступак доделе, као и начин и поступак враћања средстава за подстицање прогр</w:t>
      </w:r>
      <w:r>
        <w:rPr>
          <w:color w:val="000000"/>
        </w:rPr>
        <w:t>ама или недостајућег дела средстава за финансирање програма (у даљем тексту: програм) које реализују удружења, а који су од јавног интереса.</w:t>
      </w:r>
    </w:p>
    <w:p w:rsidR="00FF5406" w:rsidRDefault="006A2875">
      <w:pPr>
        <w:spacing w:after="120"/>
        <w:jc w:val="center"/>
      </w:pPr>
      <w:r>
        <w:rPr>
          <w:b/>
          <w:color w:val="000000"/>
        </w:rPr>
        <w:t>Појам удружења и примена уредбе</w:t>
      </w:r>
    </w:p>
    <w:p w:rsidR="00FF5406" w:rsidRDefault="006A2875">
      <w:pPr>
        <w:spacing w:after="120"/>
        <w:jc w:val="center"/>
      </w:pPr>
      <w:r>
        <w:rPr>
          <w:color w:val="000000"/>
        </w:rPr>
        <w:t>Члан 2.</w:t>
      </w:r>
    </w:p>
    <w:p w:rsidR="00FF5406" w:rsidRDefault="006A2875">
      <w:pPr>
        <w:spacing w:after="150"/>
      </w:pPr>
      <w:r>
        <w:rPr>
          <w:color w:val="000000"/>
        </w:rPr>
        <w:t>Под удружењем, у смислу ове уредбе, подразумева се добровољна и невладина н</w:t>
      </w:r>
      <w:r>
        <w:rPr>
          <w:color w:val="000000"/>
        </w:rPr>
        <w:t>едобитна организација заснована на слободи удруживања више физичких или правних лица, основана ради остваривања и унапређења одређеног заједничког или општег циља и интереса, који нису забрањени Уставом или законом, уписана у регистар надлежног органа у ск</w:t>
      </w:r>
      <w:r>
        <w:rPr>
          <w:color w:val="000000"/>
        </w:rPr>
        <w:t>ладу са законом.</w:t>
      </w:r>
    </w:p>
    <w:p w:rsidR="00FF5406" w:rsidRDefault="006A2875">
      <w:pPr>
        <w:spacing w:after="150"/>
      </w:pPr>
      <w:r>
        <w:rPr>
          <w:color w:val="000000"/>
        </w:rPr>
        <w:t>Ова уредба се не примењује на финансирање, односно суфинансирање програма које је уређено посебним законом и прописима донетим на основу тог закона.</w:t>
      </w:r>
    </w:p>
    <w:p w:rsidR="00FF5406" w:rsidRDefault="006A2875">
      <w:pPr>
        <w:spacing w:after="120"/>
        <w:jc w:val="center"/>
      </w:pPr>
      <w:r>
        <w:rPr>
          <w:b/>
          <w:color w:val="000000"/>
        </w:rPr>
        <w:t>Програм</w:t>
      </w:r>
    </w:p>
    <w:p w:rsidR="00FF5406" w:rsidRDefault="006A2875">
      <w:pPr>
        <w:spacing w:after="120"/>
        <w:jc w:val="center"/>
      </w:pPr>
      <w:r>
        <w:rPr>
          <w:color w:val="000000"/>
        </w:rPr>
        <w:t>Члан 3.</w:t>
      </w:r>
    </w:p>
    <w:p w:rsidR="00FF5406" w:rsidRDefault="006A2875">
      <w:pPr>
        <w:spacing w:after="150"/>
      </w:pPr>
      <w:r>
        <w:rPr>
          <w:color w:val="000000"/>
        </w:rPr>
        <w:t>Орган државне управе у чијем делокругу је област у којој се остварује јавн</w:t>
      </w:r>
      <w:r>
        <w:rPr>
          <w:color w:val="000000"/>
        </w:rPr>
        <w:t xml:space="preserve">и интерес, односно корисник средстава буџета Републике Србије, аутономне покрајине и јединице локалне самоуправе у чијем буџету су обезбеђена средства (у даљем тексту: надлежни орган) подстиче програме које реализују удружења, а који су од јавног интереса </w:t>
      </w:r>
      <w:r>
        <w:rPr>
          <w:color w:val="000000"/>
        </w:rPr>
        <w:t>у складу са одредбама ове уредбе и аката надлежног органа донетих у складу са одредбама закона и ове уредбе.</w:t>
      </w:r>
    </w:p>
    <w:p w:rsidR="00FF5406" w:rsidRDefault="006A2875">
      <w:pPr>
        <w:spacing w:after="150"/>
      </w:pPr>
      <w:r>
        <w:rPr>
          <w:color w:val="000000"/>
        </w:rPr>
        <w:lastRenderedPageBreak/>
        <w:t xml:space="preserve">Програм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нарочито садржи: област у којој се програм реализује, територију на којој би се програм реализовао, време и дужину т</w:t>
      </w:r>
      <w:r>
        <w:rPr>
          <w:color w:val="000000"/>
        </w:rPr>
        <w:t>рајања програма, циљ, врсту и обим активности које би се вршиле у току реализације програма и укупан број лица који је потребан за извођење програма.</w:t>
      </w:r>
    </w:p>
    <w:p w:rsidR="00FF5406" w:rsidRDefault="006A2875">
      <w:pPr>
        <w:spacing w:after="150"/>
      </w:pPr>
      <w:r>
        <w:rPr>
          <w:color w:val="000000"/>
        </w:rPr>
        <w:t>Програм чија реализација траје најдуже годину дана у формалном смислу може бити означен и називом пројекат</w:t>
      </w:r>
      <w:r>
        <w:rPr>
          <w:color w:val="000000"/>
        </w:rPr>
        <w:t>.</w:t>
      </w:r>
    </w:p>
    <w:p w:rsidR="00FF5406" w:rsidRDefault="006A2875">
      <w:pPr>
        <w:spacing w:after="120"/>
        <w:jc w:val="center"/>
      </w:pPr>
      <w:r>
        <w:rPr>
          <w:color w:val="000000"/>
        </w:rPr>
        <w:t>II. ПОСТУПАК ЗА ДОДЕЛУ СРЕДСТАВА</w:t>
      </w:r>
    </w:p>
    <w:p w:rsidR="00FF5406" w:rsidRDefault="006A2875">
      <w:pPr>
        <w:spacing w:after="120"/>
        <w:jc w:val="center"/>
      </w:pPr>
      <w:r>
        <w:rPr>
          <w:b/>
          <w:color w:val="000000"/>
        </w:rPr>
        <w:t>Годишњи план јавних конкурса и календар јавних конкурса</w:t>
      </w:r>
    </w:p>
    <w:p w:rsidR="00FF5406" w:rsidRDefault="006A2875">
      <w:pPr>
        <w:spacing w:after="120"/>
        <w:jc w:val="center"/>
      </w:pPr>
      <w:r>
        <w:rPr>
          <w:color w:val="000000"/>
        </w:rPr>
        <w:t>Члан 4.</w:t>
      </w:r>
    </w:p>
    <w:p w:rsidR="00FF5406" w:rsidRDefault="006A2875">
      <w:pPr>
        <w:spacing w:after="150"/>
      </w:pPr>
      <w:r>
        <w:rPr>
          <w:color w:val="000000"/>
        </w:rPr>
        <w:t xml:space="preserve">Годишњи план расписивања јавних конкурса надлежни орган објављује најкасније до 31. </w:t>
      </w:r>
      <w:proofErr w:type="gramStart"/>
      <w:r>
        <w:rPr>
          <w:color w:val="000000"/>
        </w:rPr>
        <w:t>јануара</w:t>
      </w:r>
      <w:proofErr w:type="gramEnd"/>
      <w:r>
        <w:rPr>
          <w:color w:val="000000"/>
        </w:rPr>
        <w:t xml:space="preserve"> на званичној интернет страници органа и доставља Kанцеларији за с</w:t>
      </w:r>
      <w:r>
        <w:rPr>
          <w:color w:val="000000"/>
        </w:rPr>
        <w:t>арадњу са цивилним друштвом (у даљем тексту: Kанцеларија).</w:t>
      </w:r>
    </w:p>
    <w:p w:rsidR="00FF5406" w:rsidRDefault="006A2875">
      <w:pPr>
        <w:spacing w:after="150"/>
      </w:pPr>
      <w:r>
        <w:rPr>
          <w:color w:val="000000"/>
        </w:rPr>
        <w:t>Годишњи план јавних конкурса садржи податке о даваоцу средстава, области, називу и планираном периоду расписивања јавног конкурсa (у даљем тексту: конкурс) и друге релевантне податке у зависности о</w:t>
      </w:r>
      <w:r>
        <w:rPr>
          <w:color w:val="000000"/>
        </w:rPr>
        <w:t>д врсте конкурса.</w:t>
      </w:r>
    </w:p>
    <w:p w:rsidR="00FF5406" w:rsidRDefault="006A2875">
      <w:pPr>
        <w:spacing w:after="150"/>
      </w:pPr>
      <w:r>
        <w:rPr>
          <w:color w:val="000000"/>
        </w:rPr>
        <w:t>Канцеларија израђује и на својој интернет страници објављује календар јавних конкурса свих надлежних органа.</w:t>
      </w:r>
    </w:p>
    <w:p w:rsidR="00FF5406" w:rsidRDefault="006A2875">
      <w:pPr>
        <w:spacing w:after="120"/>
        <w:jc w:val="center"/>
      </w:pPr>
      <w:r>
        <w:rPr>
          <w:b/>
          <w:color w:val="000000"/>
        </w:rPr>
        <w:t>Критеријуми за избор програма</w:t>
      </w:r>
    </w:p>
    <w:p w:rsidR="00FF5406" w:rsidRDefault="006A2875">
      <w:pPr>
        <w:spacing w:after="120"/>
        <w:jc w:val="center"/>
      </w:pPr>
      <w:r>
        <w:rPr>
          <w:color w:val="000000"/>
        </w:rPr>
        <w:t>Члан 5.</w:t>
      </w:r>
    </w:p>
    <w:p w:rsidR="00FF5406" w:rsidRDefault="006A2875">
      <w:pPr>
        <w:spacing w:after="150"/>
      </w:pPr>
      <w:r>
        <w:rPr>
          <w:color w:val="000000"/>
        </w:rPr>
        <w:t xml:space="preserve">Избор програма који ће се финансирати средствима буџета Републике Србије, аутономне </w:t>
      </w:r>
      <w:r>
        <w:rPr>
          <w:color w:val="000000"/>
        </w:rPr>
        <w:t>покрајине и јединице локалне самоуправе (у даљем тексту: буџет) врши се применом следећих критеријума:</w:t>
      </w:r>
    </w:p>
    <w:p w:rsidR="00FF5406" w:rsidRDefault="006A2875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референце</w:t>
      </w:r>
      <w:proofErr w:type="gramEnd"/>
      <w:r>
        <w:rPr>
          <w:color w:val="000000"/>
        </w:rPr>
        <w:t xml:space="preserve"> програма: област у којој се реализује програм, дужина трајања програма, број корисника програма, могућност развијања програма и његова одржи</w:t>
      </w:r>
      <w:r>
        <w:rPr>
          <w:color w:val="000000"/>
        </w:rPr>
        <w:t>вост;</w:t>
      </w:r>
    </w:p>
    <w:p w:rsidR="00FF5406" w:rsidRDefault="006A2875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циљеви</w:t>
      </w:r>
      <w:proofErr w:type="gramEnd"/>
      <w:r>
        <w:rPr>
          <w:color w:val="000000"/>
        </w:rPr>
        <w:t xml:space="preserve"> који се постижу: обим задовољавања јавног интереса, степен унапређења стања у области у којој се програм спроводи;</w:t>
      </w:r>
    </w:p>
    <w:p w:rsidR="00FF5406" w:rsidRDefault="006A2875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суфинансирање</w:t>
      </w:r>
      <w:proofErr w:type="gramEnd"/>
      <w:r>
        <w:rPr>
          <w:color w:val="000000"/>
        </w:rPr>
        <w:t xml:space="preserve"> програма из других извора: сопствених прихода, буџета Републике Србије, аутономне покрајине или јединице лок</w:t>
      </w:r>
      <w:r>
        <w:rPr>
          <w:color w:val="000000"/>
        </w:rPr>
        <w:t>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</w:p>
    <w:p w:rsidR="00FF5406" w:rsidRDefault="006A2875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законитост</w:t>
      </w:r>
      <w:proofErr w:type="gramEnd"/>
      <w:r>
        <w:rPr>
          <w:color w:val="000000"/>
        </w:rPr>
        <w:t xml:space="preserve"> и ефикасност коришћења средстава и одрживост ранијих програма: ако су раније коришћена средств</w:t>
      </w:r>
      <w:r>
        <w:rPr>
          <w:color w:val="000000"/>
        </w:rPr>
        <w:t>а буџета, да ли су испуњене уговорне обавезе.</w:t>
      </w:r>
    </w:p>
    <w:p w:rsidR="00FF5406" w:rsidRDefault="006A2875">
      <w:pPr>
        <w:spacing w:after="150"/>
      </w:pPr>
      <w:r>
        <w:rPr>
          <w:color w:val="000000"/>
        </w:rPr>
        <w:lastRenderedPageBreak/>
        <w:t xml:space="preserve">Ближа мерила за избор програма применом критеријума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као и допунске критеријуме који су специфични за одређену област утврђује надлежни орган.</w:t>
      </w:r>
    </w:p>
    <w:p w:rsidR="00FF5406" w:rsidRDefault="006A2875">
      <w:pPr>
        <w:spacing w:after="120"/>
        <w:jc w:val="center"/>
      </w:pPr>
      <w:r>
        <w:rPr>
          <w:b/>
          <w:color w:val="000000"/>
        </w:rPr>
        <w:t>Конкурс</w:t>
      </w:r>
    </w:p>
    <w:p w:rsidR="00FF5406" w:rsidRDefault="006A2875">
      <w:pPr>
        <w:spacing w:after="120"/>
        <w:jc w:val="center"/>
      </w:pPr>
      <w:r>
        <w:rPr>
          <w:color w:val="000000"/>
        </w:rPr>
        <w:t>Члан 6.</w:t>
      </w:r>
    </w:p>
    <w:p w:rsidR="00FF5406" w:rsidRDefault="006A2875">
      <w:pPr>
        <w:spacing w:after="150"/>
      </w:pPr>
      <w:r>
        <w:rPr>
          <w:color w:val="000000"/>
        </w:rPr>
        <w:t>Додела средстава за подстица</w:t>
      </w:r>
      <w:r>
        <w:rPr>
          <w:color w:val="000000"/>
        </w:rPr>
        <w:t>ње програма или недостајућег дела средстава за финансирање програма врши се на основу конкурса који расписује надлежни орган и оглашава на званичној интернет страници надлежног органа и порталу е-Управа.</w:t>
      </w:r>
    </w:p>
    <w:p w:rsidR="00FF5406" w:rsidRDefault="006A2875">
      <w:pPr>
        <w:spacing w:after="150"/>
      </w:pPr>
      <w:r>
        <w:rPr>
          <w:color w:val="000000"/>
        </w:rPr>
        <w:t>Конкурс обавезно садржи следеће податке: једну или н</w:t>
      </w:r>
      <w:r>
        <w:rPr>
          <w:color w:val="000000"/>
        </w:rPr>
        <w:t xml:space="preserve">еколико сродних области од јавног интереса; ко може бити учесник конкурса; рок за подношење пријава; обим средстава која се додељују; преглед конкурсне документације коју је потребно доставити, уз попуњен образац предлога програма; трајање програма; ближа </w:t>
      </w:r>
      <w:r>
        <w:rPr>
          <w:color w:val="000000"/>
        </w:rPr>
        <w:t>мерила и допунске критеријуме чијом применом се врши вредновање пријављених програма, са јасним системом за вредновање сваког појединачног критеријума, односно упућивање на службено гласило у коме је објављен пропис којим су утврђена ближа мерила и допунск</w:t>
      </w:r>
      <w:r>
        <w:rPr>
          <w:color w:val="000000"/>
        </w:rPr>
        <w:t>и критеријуми за вредновање програма.</w:t>
      </w:r>
    </w:p>
    <w:p w:rsidR="00FF5406" w:rsidRDefault="006A2875">
      <w:pPr>
        <w:spacing w:after="150"/>
      </w:pPr>
      <w:r>
        <w:rPr>
          <w:color w:val="000000"/>
        </w:rPr>
        <w:t>Надлежни органи по службеној дужности утврђују да ли је удружење уписано у регистар надлежног органа и да ли се, према статутарним одредбама, циљеви удружења остварују у области у којој се програм реализује.</w:t>
      </w:r>
    </w:p>
    <w:p w:rsidR="00FF5406" w:rsidRDefault="006A2875">
      <w:pPr>
        <w:spacing w:after="150"/>
      </w:pPr>
      <w:r>
        <w:rPr>
          <w:color w:val="000000"/>
        </w:rPr>
        <w:t xml:space="preserve">Приликом </w:t>
      </w:r>
      <w:r>
        <w:rPr>
          <w:color w:val="000000"/>
        </w:rPr>
        <w:t>вредновања програма надлежни орган ће узети у обзир да ли је са удружењем у претходне две године раскинуо уговор због ненаменског трошења буџетских средстава.</w:t>
      </w:r>
    </w:p>
    <w:p w:rsidR="00FF5406" w:rsidRDefault="006A2875">
      <w:pPr>
        <w:spacing w:after="120"/>
        <w:jc w:val="center"/>
      </w:pPr>
      <w:r>
        <w:rPr>
          <w:b/>
          <w:color w:val="000000"/>
        </w:rPr>
        <w:t>Пријава</w:t>
      </w:r>
    </w:p>
    <w:p w:rsidR="00FF5406" w:rsidRDefault="006A2875">
      <w:pPr>
        <w:spacing w:after="120"/>
        <w:jc w:val="center"/>
      </w:pPr>
      <w:r>
        <w:rPr>
          <w:color w:val="000000"/>
        </w:rPr>
        <w:t>Члан 7.</w:t>
      </w:r>
    </w:p>
    <w:p w:rsidR="00FF5406" w:rsidRDefault="006A2875">
      <w:pPr>
        <w:spacing w:after="150"/>
      </w:pPr>
      <w:r>
        <w:rPr>
          <w:color w:val="000000"/>
        </w:rPr>
        <w:t>Удружења – учесници конкурса подносе пријаву надлежном органу.</w:t>
      </w:r>
    </w:p>
    <w:p w:rsidR="00FF5406" w:rsidRDefault="006A2875">
      <w:pPr>
        <w:spacing w:after="150"/>
      </w:pPr>
      <w:r>
        <w:rPr>
          <w:color w:val="000000"/>
        </w:rPr>
        <w:t>Пријава се подноси</w:t>
      </w:r>
      <w:r>
        <w:rPr>
          <w:color w:val="000000"/>
        </w:rPr>
        <w:t xml:space="preserve"> у року који не може бити краћи од 15 дана од дана објављивања конкурса.</w:t>
      </w:r>
    </w:p>
    <w:p w:rsidR="00FF5406" w:rsidRDefault="006A2875">
      <w:pPr>
        <w:spacing w:after="120"/>
        <w:jc w:val="center"/>
      </w:pPr>
      <w:r>
        <w:rPr>
          <w:b/>
          <w:color w:val="000000"/>
        </w:rPr>
        <w:t>Комисија за спровођење конкурса</w:t>
      </w:r>
    </w:p>
    <w:p w:rsidR="00FF5406" w:rsidRDefault="006A2875">
      <w:pPr>
        <w:spacing w:after="120"/>
        <w:jc w:val="center"/>
      </w:pPr>
      <w:r>
        <w:rPr>
          <w:color w:val="000000"/>
        </w:rPr>
        <w:t>Члан 8.</w:t>
      </w:r>
    </w:p>
    <w:p w:rsidR="00FF5406" w:rsidRDefault="006A2875">
      <w:pPr>
        <w:spacing w:after="150"/>
      </w:pPr>
      <w:r>
        <w:rPr>
          <w:color w:val="000000"/>
        </w:rPr>
        <w:t>За спровођење конкурса надлежни орган образује конкурсну комисију (у даљем тексту: комисија) и својим актом ближе уређује састав, број чланова,</w:t>
      </w:r>
      <w:r>
        <w:rPr>
          <w:color w:val="000000"/>
        </w:rPr>
        <w:t xml:space="preserve"> као и друга питања значајна за рад комисије.</w:t>
      </w:r>
    </w:p>
    <w:p w:rsidR="00FF5406" w:rsidRDefault="006A2875">
      <w:pPr>
        <w:spacing w:after="150"/>
      </w:pPr>
      <w:r>
        <w:rPr>
          <w:color w:val="000000"/>
        </w:rPr>
        <w:t>Чланови комисије дужни су да потпишу изјаву да немају приватни интерес у вези са радом и одлучивањем комисије, односно спровођењем конкурса (Изјава о непостојању сукоба интереса).</w:t>
      </w:r>
    </w:p>
    <w:p w:rsidR="00FF5406" w:rsidRDefault="006A2875">
      <w:pPr>
        <w:spacing w:after="150"/>
      </w:pPr>
      <w:r>
        <w:rPr>
          <w:color w:val="000000"/>
        </w:rPr>
        <w:lastRenderedPageBreak/>
        <w:t>Именовано лице не може предузи</w:t>
      </w:r>
      <w:r>
        <w:rPr>
          <w:color w:val="000000"/>
        </w:rPr>
        <w:t xml:space="preserve">мати радње у својству члана Комисије пре него што потпише Изјаву из става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члана.</w:t>
      </w:r>
    </w:p>
    <w:p w:rsidR="00FF5406" w:rsidRDefault="006A2875">
      <w:pPr>
        <w:spacing w:after="150"/>
      </w:pPr>
      <w:r>
        <w:rPr>
          <w:color w:val="000000"/>
        </w:rPr>
        <w:t>У случају сазнања да се налази у сукобу интереса, члан комисије је дужан да о томе одмах обавести остале чланове комисије и да се изузме из даљег рада комисије. О реша</w:t>
      </w:r>
      <w:r>
        <w:rPr>
          <w:color w:val="000000"/>
        </w:rPr>
        <w:t>вању сукоба интереса надлежни орган одлучује у сваком случају посебно, а када утврди сукоб интереса, именоваће у комисију новог члана као замену.</w:t>
      </w:r>
    </w:p>
    <w:p w:rsidR="00FF5406" w:rsidRDefault="006A2875">
      <w:pPr>
        <w:spacing w:after="150"/>
      </w:pPr>
      <w:r>
        <w:rPr>
          <w:color w:val="000000"/>
        </w:rPr>
        <w:t>Сукоб интереса постоји ако члан комисије или чланови његове породице (брачни или ванбрачни друг, дете или роди</w:t>
      </w:r>
      <w:r>
        <w:rPr>
          <w:color w:val="000000"/>
        </w:rPr>
        <w:t>тељ), запослени или члан органа удружења које учествује на конкурсу или било ког другог удружења повезаног на било који начин са тим удружењем, или у односу на та удружења има било који материјални или нематеријални интерес, супротан јавном интересу и то у</w:t>
      </w:r>
      <w:r>
        <w:rPr>
          <w:color w:val="000000"/>
        </w:rPr>
        <w:t xml:space="preserve"> случајевима породичне повезаности, економских интереса или другог заједничког интереса.</w:t>
      </w:r>
    </w:p>
    <w:p w:rsidR="00FF5406" w:rsidRDefault="006A2875">
      <w:pPr>
        <w:spacing w:after="150"/>
      </w:pPr>
      <w:r>
        <w:rPr>
          <w:color w:val="000000"/>
        </w:rPr>
        <w:t xml:space="preserve">Ближа садржина Изјаве из става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и ближи поступак у коме се води рачуна о непостојању сукоба интереса уређује се интерним актом надлежног органа.</w:t>
      </w:r>
    </w:p>
    <w:p w:rsidR="00FF5406" w:rsidRDefault="006A2875">
      <w:pPr>
        <w:spacing w:after="150"/>
      </w:pPr>
      <w:r>
        <w:rPr>
          <w:color w:val="000000"/>
        </w:rPr>
        <w:t>Чланови к</w:t>
      </w:r>
      <w:r>
        <w:rPr>
          <w:color w:val="000000"/>
        </w:rPr>
        <w:t>омисије не добијају накнаду за свој рад.</w:t>
      </w:r>
    </w:p>
    <w:p w:rsidR="00FF5406" w:rsidRDefault="006A2875">
      <w:pPr>
        <w:spacing w:after="120"/>
        <w:jc w:val="center"/>
      </w:pPr>
      <w:r>
        <w:rPr>
          <w:b/>
          <w:color w:val="000000"/>
        </w:rPr>
        <w:t>Поступак одлучивања</w:t>
      </w:r>
    </w:p>
    <w:p w:rsidR="00FF5406" w:rsidRDefault="006A2875">
      <w:pPr>
        <w:spacing w:after="120"/>
        <w:jc w:val="center"/>
      </w:pPr>
      <w:r>
        <w:rPr>
          <w:color w:val="000000"/>
        </w:rPr>
        <w:t>Члан 9.</w:t>
      </w:r>
    </w:p>
    <w:p w:rsidR="00FF5406" w:rsidRDefault="006A2875">
      <w:pPr>
        <w:spacing w:after="150"/>
      </w:pPr>
      <w:r>
        <w:rPr>
          <w:color w:val="000000"/>
        </w:rPr>
        <w:t>Комисија утврђује листу вредновања и рангирања пријављених програма у року који не може бити дужи од 60 дана од дана истека рока за подношење пријаве.</w:t>
      </w:r>
    </w:p>
    <w:p w:rsidR="00FF5406" w:rsidRDefault="006A2875">
      <w:pPr>
        <w:spacing w:after="150"/>
      </w:pPr>
      <w:r>
        <w:rPr>
          <w:color w:val="000000"/>
        </w:rPr>
        <w:t xml:space="preserve">Листа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</w:t>
      </w:r>
      <w:r>
        <w:rPr>
          <w:color w:val="000000"/>
        </w:rPr>
        <w:t>објављује се на званичној интернет страници надлежног органа и на порталу е-Управа.</w:t>
      </w:r>
    </w:p>
    <w:p w:rsidR="00FF5406" w:rsidRDefault="006A2875">
      <w:pPr>
        <w:spacing w:after="150"/>
      </w:pPr>
      <w:r>
        <w:rPr>
          <w:color w:val="000000"/>
        </w:rPr>
        <w:t xml:space="preserve">Учесници конкурса имају право увида у поднете пријаве и приложену документацију у року од три радна дана од дана објављивања листе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члана.</w:t>
      </w:r>
    </w:p>
    <w:p w:rsidR="00FF5406" w:rsidRDefault="006A2875">
      <w:pPr>
        <w:spacing w:after="150"/>
      </w:pPr>
      <w:r>
        <w:rPr>
          <w:color w:val="000000"/>
        </w:rPr>
        <w:t>На листу из става</w:t>
      </w:r>
      <w:r>
        <w:rPr>
          <w:color w:val="000000"/>
        </w:rPr>
        <w:t xml:space="preserve">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учесници конкурса имају право приговора у року од осам дана од дана њеног објављивања.</w:t>
      </w:r>
    </w:p>
    <w:p w:rsidR="00FF5406" w:rsidRDefault="006A2875">
      <w:pPr>
        <w:spacing w:after="150"/>
      </w:pPr>
      <w:r>
        <w:rPr>
          <w:color w:val="000000"/>
        </w:rPr>
        <w:t>Одлуку о приговору, која мора бити образложена, надлежни орган доноси у року од 15 дана од дана његовог пријема.</w:t>
      </w:r>
    </w:p>
    <w:p w:rsidR="00FF5406" w:rsidRDefault="006A2875">
      <w:pPr>
        <w:spacing w:after="150"/>
      </w:pPr>
      <w:r>
        <w:rPr>
          <w:color w:val="000000"/>
        </w:rPr>
        <w:t>Одлуку о избору програма надлежни орган д</w:t>
      </w:r>
      <w:r>
        <w:rPr>
          <w:color w:val="000000"/>
        </w:rPr>
        <w:t>оноси у року од 30 дана од дана истека рока за подношење приговора.</w:t>
      </w:r>
    </w:p>
    <w:p w:rsidR="00FF5406" w:rsidRDefault="006A2875">
      <w:pPr>
        <w:spacing w:after="150"/>
      </w:pPr>
      <w:r>
        <w:rPr>
          <w:color w:val="000000"/>
        </w:rPr>
        <w:t xml:space="preserve">Oдлука из става 6.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објављује се на званичној интернет страници надлежног органа и на порталу е-Управа.</w:t>
      </w:r>
    </w:p>
    <w:p w:rsidR="00FF5406" w:rsidRDefault="006A2875">
      <w:pPr>
        <w:spacing w:after="120"/>
        <w:jc w:val="center"/>
      </w:pPr>
      <w:r>
        <w:rPr>
          <w:b/>
          <w:color w:val="000000"/>
        </w:rPr>
        <w:t>Учешће стручне јавности</w:t>
      </w:r>
    </w:p>
    <w:p w:rsidR="00FF5406" w:rsidRDefault="006A2875">
      <w:pPr>
        <w:spacing w:after="120"/>
        <w:jc w:val="center"/>
      </w:pPr>
      <w:r>
        <w:rPr>
          <w:color w:val="000000"/>
        </w:rPr>
        <w:t>Члан 10.</w:t>
      </w:r>
    </w:p>
    <w:p w:rsidR="00FF5406" w:rsidRDefault="006A2875">
      <w:pPr>
        <w:spacing w:after="150"/>
      </w:pPr>
      <w:r>
        <w:rPr>
          <w:color w:val="000000"/>
        </w:rPr>
        <w:lastRenderedPageBreak/>
        <w:t>У комисију могу бити именована и лица пре</w:t>
      </w:r>
      <w:r>
        <w:rPr>
          <w:color w:val="000000"/>
        </w:rPr>
        <w:t>дставници стручне јавности.</w:t>
      </w:r>
    </w:p>
    <w:p w:rsidR="00FF5406" w:rsidRDefault="006A2875">
      <w:pPr>
        <w:spacing w:after="150"/>
      </w:pPr>
      <w:r>
        <w:rPr>
          <w:color w:val="000000"/>
        </w:rPr>
        <w:t>Надлежни орган може ангажовати и стручњаке за поједине области ради припреме анализе о успешности, квалитету и остварењу циљева програма који се реализују.</w:t>
      </w:r>
    </w:p>
    <w:p w:rsidR="00FF5406" w:rsidRDefault="006A2875">
      <w:pPr>
        <w:spacing w:after="150"/>
      </w:pPr>
      <w:r>
        <w:rPr>
          <w:color w:val="000000"/>
        </w:rPr>
        <w:t xml:space="preserve">Ближа мерила, критеријуме и поступак одабира стручњака из ст. 1.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2. </w:t>
      </w:r>
      <w:proofErr w:type="gramStart"/>
      <w:r>
        <w:rPr>
          <w:color w:val="000000"/>
        </w:rPr>
        <w:t>ов</w:t>
      </w:r>
      <w:r>
        <w:rPr>
          <w:color w:val="000000"/>
        </w:rPr>
        <w:t>ог</w:t>
      </w:r>
      <w:proofErr w:type="gramEnd"/>
      <w:r>
        <w:rPr>
          <w:color w:val="000000"/>
        </w:rPr>
        <w:t xml:space="preserve"> члана прописује својим актом надлежни орган из члана 5.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2. </w:t>
      </w:r>
      <w:proofErr w:type="gramStart"/>
      <w:r>
        <w:rPr>
          <w:color w:val="000000"/>
        </w:rPr>
        <w:t>ове</w:t>
      </w:r>
      <w:proofErr w:type="gramEnd"/>
      <w:r>
        <w:rPr>
          <w:color w:val="000000"/>
        </w:rPr>
        <w:t xml:space="preserve"> уредбе, односно у складу са чланом 6.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2. </w:t>
      </w:r>
      <w:proofErr w:type="gramStart"/>
      <w:r>
        <w:rPr>
          <w:color w:val="000000"/>
        </w:rPr>
        <w:t>ове</w:t>
      </w:r>
      <w:proofErr w:type="gramEnd"/>
      <w:r>
        <w:rPr>
          <w:color w:val="000000"/>
        </w:rPr>
        <w:t xml:space="preserve"> уредбе, приликом утврђивања конкурсних услова.</w:t>
      </w:r>
    </w:p>
    <w:p w:rsidR="00FF5406" w:rsidRDefault="006A2875">
      <w:pPr>
        <w:spacing w:after="120"/>
        <w:jc w:val="center"/>
      </w:pPr>
      <w:r>
        <w:rPr>
          <w:color w:val="000000"/>
        </w:rPr>
        <w:t>III. КОРИШЋЕЊЕ СРЕДСТАВА И ПРАЋЕЊЕ РЕАЛИЗАЦИЈЕ ПРОГРАМА</w:t>
      </w:r>
    </w:p>
    <w:p w:rsidR="00FF5406" w:rsidRDefault="006A2875">
      <w:pPr>
        <w:spacing w:after="120"/>
        <w:jc w:val="center"/>
      </w:pPr>
      <w:r>
        <w:rPr>
          <w:b/>
          <w:color w:val="000000"/>
        </w:rPr>
        <w:t>Коришћење средстава</w:t>
      </w:r>
    </w:p>
    <w:p w:rsidR="00FF5406" w:rsidRDefault="006A2875">
      <w:pPr>
        <w:spacing w:after="120"/>
        <w:jc w:val="center"/>
      </w:pPr>
      <w:r>
        <w:rPr>
          <w:color w:val="000000"/>
        </w:rPr>
        <w:t>Члан 11.</w:t>
      </w:r>
    </w:p>
    <w:p w:rsidR="00FF5406" w:rsidRDefault="006A2875">
      <w:pPr>
        <w:spacing w:after="150"/>
      </w:pPr>
      <w:r>
        <w:rPr>
          <w:color w:val="000000"/>
        </w:rPr>
        <w:t>Сре</w:t>
      </w:r>
      <w:r>
        <w:rPr>
          <w:color w:val="000000"/>
        </w:rPr>
        <w:t>дства која се, у складу са овом уредбом, одобре за реализацију програма јесу наменска средства и могу да се користе искључиво за реализацију конкретног програма и у складу са уговором који се закључује између надлежног органа и удружења.</w:t>
      </w:r>
    </w:p>
    <w:p w:rsidR="00FF5406" w:rsidRDefault="006A2875">
      <w:pPr>
        <w:spacing w:after="150"/>
      </w:pPr>
      <w:r>
        <w:rPr>
          <w:color w:val="000000"/>
        </w:rPr>
        <w:t>Пренос средстава и</w:t>
      </w:r>
      <w:r>
        <w:rPr>
          <w:color w:val="000000"/>
        </w:rPr>
        <w:t xml:space="preserve">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врши се у складу са прописима којима се уређује пренос средстава и отварање рачуна корисника јавних средстава.</w:t>
      </w:r>
    </w:p>
    <w:p w:rsidR="00FF5406" w:rsidRDefault="006A2875">
      <w:pPr>
        <w:spacing w:after="150"/>
      </w:pPr>
      <w:r>
        <w:rPr>
          <w:color w:val="000000"/>
        </w:rPr>
        <w:t>Уговором се уређују међусобна права, обавезе и одговорности уговорних страна, а нарочито: утврђен предмет програма, рок у к</w:t>
      </w:r>
      <w:r>
        <w:rPr>
          <w:color w:val="000000"/>
        </w:rPr>
        <w:t xml:space="preserve">оме се програм реализује, конкретне обавезе уговорних страна, износ средстава и начин обезбеђења и преноса средстава, инструменти обезбеђења за случај ненаменског трошења средстава обезбеђених за реализацију програма, односно за случај неизвршења уговорне </w:t>
      </w:r>
      <w:r>
        <w:rPr>
          <w:color w:val="000000"/>
        </w:rPr>
        <w:t>обавезе – предмета програма и повраћај неутрошених средстава.</w:t>
      </w:r>
    </w:p>
    <w:p w:rsidR="00FF5406" w:rsidRDefault="006A2875">
      <w:pPr>
        <w:spacing w:after="150"/>
      </w:pPr>
      <w:r>
        <w:rPr>
          <w:color w:val="000000"/>
        </w:rPr>
        <w:t>Корисник средстава дужан је да пре склапања уговора надлежном органу достави изјаву да средства за реализацију одобреног програма нису на други начин већ обезбеђена као и изјаву о непостојању су</w:t>
      </w:r>
      <w:r>
        <w:rPr>
          <w:color w:val="000000"/>
        </w:rPr>
        <w:t>коба интереса и интерни акт о антикорупцијској политици.</w:t>
      </w:r>
    </w:p>
    <w:p w:rsidR="00FF5406" w:rsidRDefault="006A2875">
      <w:pPr>
        <w:spacing w:after="120"/>
        <w:jc w:val="center"/>
      </w:pPr>
      <w:r>
        <w:rPr>
          <w:b/>
          <w:color w:val="000000"/>
        </w:rPr>
        <w:t>Праћење реализације програма</w:t>
      </w:r>
    </w:p>
    <w:p w:rsidR="00FF5406" w:rsidRDefault="006A2875">
      <w:pPr>
        <w:spacing w:after="120"/>
        <w:jc w:val="center"/>
      </w:pPr>
      <w:r>
        <w:rPr>
          <w:color w:val="000000"/>
        </w:rPr>
        <w:t>Члан 12.</w:t>
      </w:r>
    </w:p>
    <w:p w:rsidR="00FF5406" w:rsidRDefault="006A2875">
      <w:pPr>
        <w:spacing w:after="150"/>
      </w:pPr>
      <w:r>
        <w:rPr>
          <w:color w:val="000000"/>
        </w:rPr>
        <w:t>Надлежни орган прати реализацију програма за који су одобрена средства у складу са овом уредбом.</w:t>
      </w:r>
    </w:p>
    <w:p w:rsidR="00FF5406" w:rsidRDefault="006A2875">
      <w:pPr>
        <w:spacing w:after="150"/>
      </w:pPr>
      <w:r>
        <w:rPr>
          <w:color w:val="000000"/>
        </w:rPr>
        <w:t>Праћење реализације програма обухвата:</w:t>
      </w:r>
    </w:p>
    <w:p w:rsidR="00FF5406" w:rsidRDefault="006A2875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обавезу</w:t>
      </w:r>
      <w:proofErr w:type="gramEnd"/>
      <w:r>
        <w:rPr>
          <w:color w:val="000000"/>
        </w:rPr>
        <w:t xml:space="preserve"> удружења да об</w:t>
      </w:r>
      <w:r>
        <w:rPr>
          <w:color w:val="000000"/>
        </w:rPr>
        <w:t>авештава надлежни орган о реализацији програма, у роковима одређеним уговором;</w:t>
      </w:r>
    </w:p>
    <w:p w:rsidR="00FF5406" w:rsidRDefault="006A2875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прегледање</w:t>
      </w:r>
      <w:proofErr w:type="gramEnd"/>
      <w:r>
        <w:rPr>
          <w:color w:val="000000"/>
        </w:rPr>
        <w:t xml:space="preserve"> извештаја од стране надлежног органа;</w:t>
      </w:r>
    </w:p>
    <w:p w:rsidR="00FF5406" w:rsidRDefault="006A2875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мониторинг</w:t>
      </w:r>
      <w:proofErr w:type="gramEnd"/>
      <w:r>
        <w:rPr>
          <w:color w:val="000000"/>
        </w:rPr>
        <w:t xml:space="preserve"> посете представника надлежног органа;</w:t>
      </w:r>
    </w:p>
    <w:p w:rsidR="00FF5406" w:rsidRDefault="006A2875">
      <w:pPr>
        <w:spacing w:after="150"/>
      </w:pPr>
      <w:r>
        <w:rPr>
          <w:color w:val="000000"/>
        </w:rPr>
        <w:lastRenderedPageBreak/>
        <w:t xml:space="preserve">4) </w:t>
      </w:r>
      <w:proofErr w:type="gramStart"/>
      <w:r>
        <w:rPr>
          <w:color w:val="000000"/>
        </w:rPr>
        <w:t>обавезу</w:t>
      </w:r>
      <w:proofErr w:type="gramEnd"/>
      <w:r>
        <w:rPr>
          <w:color w:val="000000"/>
        </w:rPr>
        <w:t xml:space="preserve"> удружења да омогући представницима надлежног органа да изврше </w:t>
      </w:r>
      <w:r>
        <w:rPr>
          <w:color w:val="000000"/>
        </w:rPr>
        <w:t>увид у релевантну документацију насталу у току реализације програма;</w:t>
      </w:r>
    </w:p>
    <w:p w:rsidR="00FF5406" w:rsidRDefault="006A2875">
      <w:pPr>
        <w:spacing w:after="150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прикупљање</w:t>
      </w:r>
      <w:proofErr w:type="gramEnd"/>
      <w:r>
        <w:rPr>
          <w:color w:val="000000"/>
        </w:rPr>
        <w:t xml:space="preserve"> информација од корисника програма;</w:t>
      </w:r>
    </w:p>
    <w:p w:rsidR="00FF5406" w:rsidRDefault="006A2875">
      <w:pPr>
        <w:spacing w:after="150"/>
      </w:pPr>
      <w:r>
        <w:rPr>
          <w:color w:val="000000"/>
        </w:rPr>
        <w:t xml:space="preserve">6) </w:t>
      </w:r>
      <w:proofErr w:type="gramStart"/>
      <w:r>
        <w:rPr>
          <w:color w:val="000000"/>
        </w:rPr>
        <w:t>друге</w:t>
      </w:r>
      <w:proofErr w:type="gramEnd"/>
      <w:r>
        <w:rPr>
          <w:color w:val="000000"/>
        </w:rPr>
        <w:t xml:space="preserve"> активности предвиђене уговором.</w:t>
      </w:r>
    </w:p>
    <w:p w:rsidR="00FF5406" w:rsidRDefault="006A2875">
      <w:pPr>
        <w:spacing w:after="150"/>
      </w:pPr>
      <w:r>
        <w:rPr>
          <w:color w:val="000000"/>
        </w:rPr>
        <w:t xml:space="preserve">Праћење може обухватити и ревизију овлашћеног ревизора, уколико је то предвиђено конкурсним </w:t>
      </w:r>
      <w:r>
        <w:rPr>
          <w:color w:val="000000"/>
        </w:rPr>
        <w:t>условима и уговором.</w:t>
      </w:r>
    </w:p>
    <w:p w:rsidR="00FF5406" w:rsidRDefault="006A2875">
      <w:pPr>
        <w:spacing w:after="150"/>
      </w:pPr>
      <w:r>
        <w:rPr>
          <w:color w:val="000000"/>
        </w:rPr>
        <w:t>Удружење односно реализатор програма је дужно да надлежном органу омогући праћење реализације програма.</w:t>
      </w:r>
    </w:p>
    <w:p w:rsidR="00FF5406" w:rsidRDefault="006A2875">
      <w:pPr>
        <w:spacing w:after="120"/>
        <w:jc w:val="center"/>
      </w:pPr>
      <w:r>
        <w:rPr>
          <w:b/>
          <w:color w:val="000000"/>
        </w:rPr>
        <w:t>Извештавање</w:t>
      </w:r>
    </w:p>
    <w:p w:rsidR="00FF5406" w:rsidRDefault="006A2875">
      <w:pPr>
        <w:spacing w:after="120"/>
        <w:jc w:val="center"/>
      </w:pPr>
      <w:r>
        <w:rPr>
          <w:color w:val="000000"/>
        </w:rPr>
        <w:t>Члан 13.</w:t>
      </w:r>
    </w:p>
    <w:p w:rsidR="00FF5406" w:rsidRDefault="006A2875">
      <w:pPr>
        <w:spacing w:after="150"/>
      </w:pPr>
      <w:r>
        <w:rPr>
          <w:color w:val="000000"/>
        </w:rPr>
        <w:t>Удружење израђује периодичне и завршне наративне и финансијске извештаје.</w:t>
      </w:r>
    </w:p>
    <w:p w:rsidR="00FF5406" w:rsidRDefault="006A2875">
      <w:pPr>
        <w:spacing w:after="150"/>
      </w:pPr>
      <w:r>
        <w:rPr>
          <w:color w:val="000000"/>
        </w:rPr>
        <w:t>Периодични и завршни наративни извеш</w:t>
      </w:r>
      <w:r>
        <w:rPr>
          <w:color w:val="000000"/>
        </w:rPr>
        <w:t xml:space="preserve">тај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садржи: детаљан опис активности и резултата реализације програма у односу на планиране активности дефинисане уговором, како би се могла извршити процена успешности од стране надлежног органа и образложење за свако одступање од пр</w:t>
      </w:r>
      <w:r>
        <w:rPr>
          <w:color w:val="000000"/>
        </w:rPr>
        <w:t>ограма и преглед корективних мера чије се предузимање планира од стране корисника средстава.</w:t>
      </w:r>
    </w:p>
    <w:p w:rsidR="00FF5406" w:rsidRDefault="006A2875">
      <w:pPr>
        <w:spacing w:after="150"/>
      </w:pPr>
      <w:r>
        <w:rPr>
          <w:color w:val="000000"/>
        </w:rPr>
        <w:t xml:space="preserve">Периодични и завршни финансијски извештај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садржи: приказ буџета, који је саставни део уговора, са прегледом свих трошкова који су настали то</w:t>
      </w:r>
      <w:r>
        <w:rPr>
          <w:color w:val="000000"/>
        </w:rPr>
        <w:t>ком извештајног периода, као и целокупну документацију која оправдава настале трошкове.</w:t>
      </w:r>
    </w:p>
    <w:p w:rsidR="00FF5406" w:rsidRDefault="006A2875">
      <w:pPr>
        <w:spacing w:after="120"/>
        <w:jc w:val="center"/>
      </w:pPr>
      <w:r>
        <w:rPr>
          <w:b/>
          <w:color w:val="000000"/>
        </w:rPr>
        <w:t>Достављање, прегледање и процена извештаја</w:t>
      </w:r>
    </w:p>
    <w:p w:rsidR="00FF5406" w:rsidRDefault="006A2875">
      <w:pPr>
        <w:spacing w:after="120"/>
        <w:jc w:val="center"/>
      </w:pPr>
      <w:r>
        <w:rPr>
          <w:color w:val="000000"/>
        </w:rPr>
        <w:t>Члан 14.</w:t>
      </w:r>
    </w:p>
    <w:p w:rsidR="00FF5406" w:rsidRDefault="006A2875">
      <w:pPr>
        <w:spacing w:after="150"/>
      </w:pPr>
      <w:r>
        <w:rPr>
          <w:color w:val="000000"/>
        </w:rPr>
        <w:t>Удружење доставља периодичне и завршне наративне и финансијске извештаје у роковима предвиђеним закљученим уговором.</w:t>
      </w:r>
    </w:p>
    <w:p w:rsidR="00FF5406" w:rsidRDefault="006A2875">
      <w:pPr>
        <w:spacing w:after="150"/>
      </w:pPr>
      <w:r>
        <w:rPr>
          <w:color w:val="000000"/>
        </w:rPr>
        <w:t xml:space="preserve">Надлежни орган прегледа и разматра извештаје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члана.</w:t>
      </w:r>
    </w:p>
    <w:p w:rsidR="00FF5406" w:rsidRDefault="006A2875">
      <w:pPr>
        <w:spacing w:after="150"/>
      </w:pPr>
      <w:r>
        <w:rPr>
          <w:color w:val="000000"/>
        </w:rPr>
        <w:t>Прегледом финансијских извештаја надлежни орган утврђује да ли су буџетска средства наменски коришћена и да ли постоји рачуноводствена документација која указује на наменски утрошак исти</w:t>
      </w:r>
      <w:r>
        <w:rPr>
          <w:color w:val="000000"/>
        </w:rPr>
        <w:t>х.</w:t>
      </w:r>
    </w:p>
    <w:p w:rsidR="00FF5406" w:rsidRDefault="006A2875">
      <w:pPr>
        <w:spacing w:after="150"/>
      </w:pPr>
      <w:r>
        <w:rPr>
          <w:color w:val="000000"/>
        </w:rPr>
        <w:t>Плаћања и издаци који нису у складу са уговорним обавезама и/или без припадајуће рачуноводствене документације неће бити признати, о чему се носилац програма обавештава писаним путем.</w:t>
      </w:r>
    </w:p>
    <w:p w:rsidR="00FF5406" w:rsidRDefault="006A2875">
      <w:pPr>
        <w:spacing w:after="150"/>
      </w:pPr>
      <w:r>
        <w:rPr>
          <w:color w:val="000000"/>
        </w:rPr>
        <w:t>Прегледом наративног извештаја надлежни орган остварује увид и врши п</w:t>
      </w:r>
      <w:r>
        <w:rPr>
          <w:color w:val="000000"/>
        </w:rPr>
        <w:t>роцену квалитета и успешности програма у смислу реализације постављених циљева.</w:t>
      </w:r>
    </w:p>
    <w:p w:rsidR="00FF5406" w:rsidRDefault="006A2875">
      <w:pPr>
        <w:spacing w:after="150"/>
      </w:pPr>
      <w:r>
        <w:rPr>
          <w:color w:val="000000"/>
        </w:rPr>
        <w:lastRenderedPageBreak/>
        <w:t>О извршеној процени надлежни орган обавештава корисника средстава.</w:t>
      </w:r>
    </w:p>
    <w:p w:rsidR="00FF5406" w:rsidRDefault="006A2875">
      <w:pPr>
        <w:spacing w:after="150"/>
      </w:pPr>
      <w:r>
        <w:rPr>
          <w:color w:val="000000"/>
        </w:rPr>
        <w:t xml:space="preserve">Удружење на захтев надлежног органа доставља допуну и додатно објашњење навода изнетих у извештају у року од </w:t>
      </w:r>
      <w:r>
        <w:rPr>
          <w:color w:val="000000"/>
        </w:rPr>
        <w:t>осам дана од пријема захтева надлежног органа за доставу допуне документације.</w:t>
      </w:r>
    </w:p>
    <w:p w:rsidR="00FF5406" w:rsidRDefault="006A2875">
      <w:pPr>
        <w:spacing w:after="120"/>
        <w:jc w:val="center"/>
      </w:pPr>
      <w:r>
        <w:rPr>
          <w:b/>
          <w:color w:val="000000"/>
        </w:rPr>
        <w:t>Мониторинг посета</w:t>
      </w:r>
    </w:p>
    <w:p w:rsidR="00FF5406" w:rsidRDefault="006A2875">
      <w:pPr>
        <w:spacing w:after="120"/>
        <w:jc w:val="center"/>
      </w:pPr>
      <w:r>
        <w:rPr>
          <w:color w:val="000000"/>
        </w:rPr>
        <w:t>Члан 15.</w:t>
      </w:r>
    </w:p>
    <w:p w:rsidR="00FF5406" w:rsidRDefault="006A2875">
      <w:pPr>
        <w:spacing w:after="150"/>
      </w:pPr>
      <w:r>
        <w:rPr>
          <w:color w:val="000000"/>
        </w:rPr>
        <w:t>У циљу праћења реализације програма, надлежни орган може реализовати мониторинг посете.</w:t>
      </w:r>
    </w:p>
    <w:p w:rsidR="00FF5406" w:rsidRDefault="006A2875">
      <w:pPr>
        <w:spacing w:after="150"/>
      </w:pPr>
      <w:r>
        <w:rPr>
          <w:color w:val="000000"/>
        </w:rPr>
        <w:t>Под мониторинг посетом, у смислу ове уредбе, сматра се: посета</w:t>
      </w:r>
      <w:r>
        <w:rPr>
          <w:color w:val="000000"/>
        </w:rPr>
        <w:t xml:space="preserve"> удружењу, одржавање састанака овлашћених представника надлежног органа са овлашћеним представницима удружења, присуство одређеним догађајима и манифестацијама или другим програмским активностима које удружење спроводи у склопу реализације програма.</w:t>
      </w:r>
    </w:p>
    <w:p w:rsidR="00FF5406" w:rsidRDefault="006A2875">
      <w:pPr>
        <w:spacing w:after="150"/>
      </w:pPr>
      <w:r>
        <w:rPr>
          <w:color w:val="000000"/>
        </w:rPr>
        <w:t>Монито</w:t>
      </w:r>
      <w:r>
        <w:rPr>
          <w:color w:val="000000"/>
        </w:rPr>
        <w:t>ринг посета може бити најављена или ненајављена.</w:t>
      </w:r>
    </w:p>
    <w:p w:rsidR="00FF5406" w:rsidRDefault="006A2875">
      <w:pPr>
        <w:spacing w:after="150"/>
      </w:pPr>
      <w:r>
        <w:rPr>
          <w:color w:val="000000"/>
        </w:rPr>
        <w:t>За програме чије трајање је дуже од шест месеци и чија је вредност одобрених средстава већа од 500.000,00 динара, као и програме који трају дуже од годину дана, надлежни орган реализује најмање једну монитор</w:t>
      </w:r>
      <w:r>
        <w:rPr>
          <w:color w:val="000000"/>
        </w:rPr>
        <w:t>инг посету у току трајања програма, односно најмање једном годишње.</w:t>
      </w:r>
    </w:p>
    <w:p w:rsidR="00FF5406" w:rsidRDefault="006A2875">
      <w:pPr>
        <w:spacing w:after="120"/>
        <w:jc w:val="center"/>
      </w:pPr>
      <w:r>
        <w:rPr>
          <w:b/>
          <w:color w:val="000000"/>
        </w:rPr>
        <w:t>Извештај о мониторинг посети</w:t>
      </w:r>
    </w:p>
    <w:p w:rsidR="00FF5406" w:rsidRDefault="006A2875">
      <w:pPr>
        <w:spacing w:after="120"/>
        <w:jc w:val="center"/>
      </w:pPr>
      <w:r>
        <w:rPr>
          <w:color w:val="000000"/>
        </w:rPr>
        <w:t>Члан 16.</w:t>
      </w:r>
    </w:p>
    <w:p w:rsidR="00FF5406" w:rsidRDefault="006A2875">
      <w:pPr>
        <w:spacing w:after="150"/>
      </w:pPr>
      <w:r>
        <w:rPr>
          <w:color w:val="000000"/>
        </w:rPr>
        <w:t xml:space="preserve">Надлежни орган израђује извештај о мониторинг посети из члана 15. </w:t>
      </w:r>
      <w:proofErr w:type="gramStart"/>
      <w:r>
        <w:rPr>
          <w:color w:val="000000"/>
        </w:rPr>
        <w:t>ове</w:t>
      </w:r>
      <w:proofErr w:type="gramEnd"/>
      <w:r>
        <w:rPr>
          <w:color w:val="000000"/>
        </w:rPr>
        <w:t xml:space="preserve"> уредбе у року од десет дана од дана спроведене посете.</w:t>
      </w:r>
    </w:p>
    <w:p w:rsidR="00FF5406" w:rsidRDefault="006A2875">
      <w:pPr>
        <w:spacing w:after="150"/>
      </w:pPr>
      <w:r>
        <w:rPr>
          <w:color w:val="000000"/>
        </w:rPr>
        <w:t xml:space="preserve">Поред извештаја из става </w:t>
      </w:r>
      <w:r>
        <w:rPr>
          <w:color w:val="000000"/>
        </w:rPr>
        <w:t xml:space="preserve">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надлежни орган може израдити и препоруке за отклањање недостатака и рокове за њихову реализацију и упутити их кориснику средстава.</w:t>
      </w:r>
    </w:p>
    <w:p w:rsidR="00FF5406" w:rsidRDefault="006A2875">
      <w:pPr>
        <w:spacing w:after="120"/>
        <w:jc w:val="center"/>
      </w:pPr>
      <w:r>
        <w:rPr>
          <w:b/>
          <w:color w:val="000000"/>
        </w:rPr>
        <w:t>Сукоб интереса код корисника средстава</w:t>
      </w:r>
    </w:p>
    <w:p w:rsidR="00FF5406" w:rsidRDefault="006A2875">
      <w:pPr>
        <w:spacing w:after="120"/>
        <w:jc w:val="center"/>
      </w:pPr>
      <w:r>
        <w:rPr>
          <w:color w:val="000000"/>
        </w:rPr>
        <w:t>Члан 17.</w:t>
      </w:r>
    </w:p>
    <w:p w:rsidR="00FF5406" w:rsidRDefault="006A2875">
      <w:pPr>
        <w:spacing w:after="150"/>
      </w:pPr>
      <w:r>
        <w:rPr>
          <w:color w:val="000000"/>
        </w:rPr>
        <w:t xml:space="preserve">Удружење ће предузети све потребне мере у циљу избегавања </w:t>
      </w:r>
      <w:r>
        <w:rPr>
          <w:color w:val="000000"/>
        </w:rPr>
        <w:t>сукоба интереса приликом коришћења наменских средстава и одмах по сазнању обавестити надлежни орган о свим ситуацијама које представљају или би могле довести до сукоба интереса, у складу са законом.</w:t>
      </w:r>
    </w:p>
    <w:p w:rsidR="00FF5406" w:rsidRDefault="006A2875">
      <w:pPr>
        <w:spacing w:after="150"/>
      </w:pPr>
      <w:r>
        <w:rPr>
          <w:color w:val="000000"/>
        </w:rPr>
        <w:t>Сукоб интереса постоји у ситуацији у којој је непристрасн</w:t>
      </w:r>
      <w:r>
        <w:rPr>
          <w:color w:val="000000"/>
        </w:rPr>
        <w:t>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(чланови породице: супружник или ванбрачни партнер, дете или родитељ), запо</w:t>
      </w:r>
      <w:r>
        <w:rPr>
          <w:color w:val="000000"/>
        </w:rPr>
        <w:t>сленом, члану удружења, а на штету јавног интереса и то у случају породичне повезаности, економских интереса или другог заједничког интереса са тим лицем.</w:t>
      </w:r>
    </w:p>
    <w:p w:rsidR="00FF5406" w:rsidRDefault="006A2875">
      <w:pPr>
        <w:spacing w:after="150"/>
      </w:pPr>
      <w:r>
        <w:rPr>
          <w:color w:val="000000"/>
        </w:rPr>
        <w:lastRenderedPageBreak/>
        <w:t>Сваки сукоб интереса надлежни орган посебно разматра и може од удружења затражити сва потребна обавеш</w:t>
      </w:r>
      <w:r>
        <w:rPr>
          <w:color w:val="000000"/>
        </w:rPr>
        <w:t>тења и документацију.</w:t>
      </w:r>
    </w:p>
    <w:p w:rsidR="00FF5406" w:rsidRDefault="006A2875">
      <w:pPr>
        <w:spacing w:after="150"/>
      </w:pPr>
      <w:r>
        <w:rPr>
          <w:color w:val="000000"/>
        </w:rPr>
        <w:t>У случају утврђеног постојања сукоба интереса у спровођењу уговора, надлежни орган ће затражити од удружења да без одлагања, а најкасније у року од 30 дана, предузме одговарајуће мере.</w:t>
      </w:r>
    </w:p>
    <w:p w:rsidR="00FF5406" w:rsidRDefault="006A2875">
      <w:pPr>
        <w:spacing w:after="150"/>
      </w:pPr>
      <w:r>
        <w:rPr>
          <w:color w:val="000000"/>
        </w:rPr>
        <w:t>Не сматра се сукобом интереса када корисник средс</w:t>
      </w:r>
      <w:r>
        <w:rPr>
          <w:color w:val="000000"/>
        </w:rPr>
        <w:t>тава спроводи програм који је усмерен на чланове удружења као кориснике програма који припадају социјално осетљивим групама или особама са инвалидитетом.</w:t>
      </w:r>
    </w:p>
    <w:p w:rsidR="00FF5406" w:rsidRDefault="006A2875">
      <w:pPr>
        <w:spacing w:after="120"/>
        <w:jc w:val="center"/>
      </w:pPr>
      <w:r>
        <w:rPr>
          <w:b/>
          <w:color w:val="000000"/>
        </w:rPr>
        <w:t>Прерасподела одобреног износа средстава</w:t>
      </w:r>
    </w:p>
    <w:p w:rsidR="00FF5406" w:rsidRDefault="006A2875">
      <w:pPr>
        <w:spacing w:after="120"/>
        <w:jc w:val="center"/>
      </w:pPr>
      <w:r>
        <w:rPr>
          <w:color w:val="000000"/>
        </w:rPr>
        <w:t>Члан 18.</w:t>
      </w:r>
    </w:p>
    <w:p w:rsidR="00FF5406" w:rsidRDefault="006A2875">
      <w:pPr>
        <w:spacing w:after="150"/>
      </w:pPr>
      <w:r>
        <w:rPr>
          <w:color w:val="000000"/>
        </w:rPr>
        <w:t xml:space="preserve">Корисник средстава, у изузетним ситуацијама, може да </w:t>
      </w:r>
      <w:r>
        <w:rPr>
          <w:color w:val="000000"/>
        </w:rPr>
        <w:t>тражи сагласност од надлежног органа ради прерасподеле средстава за реализацију планираних активности у оквиру одобреног програма.</w:t>
      </w:r>
    </w:p>
    <w:p w:rsidR="00FF5406" w:rsidRDefault="006A2875">
      <w:pPr>
        <w:spacing w:after="150"/>
      </w:pPr>
      <w:r>
        <w:rPr>
          <w:color w:val="000000"/>
        </w:rPr>
        <w:t>Захтевом за прерасподелу средстава не може се тражити повећање расхода који се односе на људске ресурсе.</w:t>
      </w:r>
    </w:p>
    <w:p w:rsidR="00FF5406" w:rsidRDefault="006A2875">
      <w:pPr>
        <w:spacing w:after="150"/>
      </w:pPr>
      <w:r>
        <w:rPr>
          <w:color w:val="000000"/>
        </w:rPr>
        <w:t>Прерасподела средста</w:t>
      </w:r>
      <w:r>
        <w:rPr>
          <w:color w:val="000000"/>
        </w:rPr>
        <w:t>ва се може извршити тек након добијања писмене сагласности или потписивањем анекса уговора са даваоцем средстава.</w:t>
      </w:r>
    </w:p>
    <w:p w:rsidR="00FF5406" w:rsidRDefault="006A2875">
      <w:pPr>
        <w:spacing w:after="120"/>
        <w:jc w:val="center"/>
      </w:pPr>
      <w:r>
        <w:rPr>
          <w:b/>
          <w:color w:val="000000"/>
        </w:rPr>
        <w:t>Поступање у случају неправилности</w:t>
      </w:r>
    </w:p>
    <w:p w:rsidR="00FF5406" w:rsidRDefault="006A2875">
      <w:pPr>
        <w:spacing w:after="120"/>
        <w:jc w:val="center"/>
      </w:pPr>
      <w:r>
        <w:rPr>
          <w:color w:val="000000"/>
        </w:rPr>
        <w:t>Члан 19.</w:t>
      </w:r>
    </w:p>
    <w:p w:rsidR="00FF5406" w:rsidRDefault="006A2875">
      <w:pPr>
        <w:spacing w:after="150"/>
      </w:pPr>
      <w:r>
        <w:rPr>
          <w:color w:val="000000"/>
        </w:rPr>
        <w:t>Надлежни орган обавештава корисника средстава да ће покренути поступак за раскид уговора и повраћај</w:t>
      </w:r>
      <w:r>
        <w:rPr>
          <w:color w:val="000000"/>
        </w:rPr>
        <w:t xml:space="preserve"> средстава са припадајућом каматом уколико су неправилности такве природе да онемогућавају надлежни орган да утврди да су додељена средства наменски коришћена, односно ако утврди ненаменски утрошак средстава.</w:t>
      </w:r>
    </w:p>
    <w:p w:rsidR="00FF5406" w:rsidRDefault="006A2875">
      <w:pPr>
        <w:spacing w:after="120"/>
        <w:jc w:val="center"/>
      </w:pPr>
      <w:r>
        <w:rPr>
          <w:b/>
          <w:color w:val="000000"/>
        </w:rPr>
        <w:t>Раскид уговора и повраћај средстава</w:t>
      </w:r>
    </w:p>
    <w:p w:rsidR="00FF5406" w:rsidRDefault="006A2875">
      <w:pPr>
        <w:spacing w:after="120"/>
        <w:jc w:val="center"/>
      </w:pPr>
      <w:r>
        <w:rPr>
          <w:color w:val="000000"/>
        </w:rPr>
        <w:t>Члан 20.</w:t>
      </w:r>
    </w:p>
    <w:p w:rsidR="00FF5406" w:rsidRDefault="006A2875">
      <w:pPr>
        <w:spacing w:after="150"/>
      </w:pPr>
      <w:r>
        <w:rPr>
          <w:color w:val="000000"/>
        </w:rPr>
        <w:t>Ак</w:t>
      </w:r>
      <w:r>
        <w:rPr>
          <w:color w:val="000000"/>
        </w:rPr>
        <w:t>о се приликом праћења реализације програма утврди ненаменско трошење средстава надлежни орган дужан је да раскине уговор, захтева повраћај пренетих средстава, односно да активира инструменте обезбеђења, а удружење је дужно да средства врати са законском ка</w:t>
      </w:r>
      <w:r>
        <w:rPr>
          <w:color w:val="000000"/>
        </w:rPr>
        <w:t>матом.</w:t>
      </w:r>
    </w:p>
    <w:p w:rsidR="00FF5406" w:rsidRDefault="006A2875">
      <w:pPr>
        <w:spacing w:after="120"/>
        <w:jc w:val="center"/>
      </w:pPr>
      <w:r>
        <w:rPr>
          <w:b/>
          <w:color w:val="000000"/>
        </w:rPr>
        <w:t>Извештај надлежног органа</w:t>
      </w:r>
    </w:p>
    <w:p w:rsidR="00FF5406" w:rsidRDefault="006A2875">
      <w:pPr>
        <w:spacing w:after="120"/>
        <w:jc w:val="center"/>
      </w:pPr>
      <w:r>
        <w:rPr>
          <w:color w:val="000000"/>
        </w:rPr>
        <w:t>Члан 21.</w:t>
      </w:r>
    </w:p>
    <w:p w:rsidR="00FF5406" w:rsidRDefault="006A2875">
      <w:pPr>
        <w:spacing w:after="150"/>
      </w:pPr>
      <w:r>
        <w:rPr>
          <w:color w:val="000000"/>
        </w:rPr>
        <w:t>Надлежни орган изрaђује извeштaj о реализованој финансијској подршци програмима удружења из буџетских средстава у претходној календарској години.</w:t>
      </w:r>
    </w:p>
    <w:p w:rsidR="00FF5406" w:rsidRDefault="006A2875">
      <w:pPr>
        <w:spacing w:after="150"/>
      </w:pPr>
      <w:r>
        <w:rPr>
          <w:color w:val="000000"/>
        </w:rPr>
        <w:t xml:space="preserve">Извeштaj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објављује се на званичној интернет </w:t>
      </w:r>
      <w:r>
        <w:rPr>
          <w:color w:val="000000"/>
        </w:rPr>
        <w:t>страници надлежног органа и на порталу е-Управа.</w:t>
      </w:r>
    </w:p>
    <w:p w:rsidR="00FF5406" w:rsidRDefault="006A2875">
      <w:pPr>
        <w:spacing w:after="150"/>
      </w:pPr>
      <w:r>
        <w:rPr>
          <w:color w:val="000000"/>
        </w:rPr>
        <w:lastRenderedPageBreak/>
        <w:t>Надлежни орган може спровести анализу успешности, квалитета и степена остварености циљева програма за која су додељена средства на конкурсу за доделу средстава, уколико оцени да би то довело до унапређења ст</w:t>
      </w:r>
      <w:r>
        <w:rPr>
          <w:color w:val="000000"/>
        </w:rPr>
        <w:t>ања у одређеној области у којој се корисницима додељују финансијска средства.</w:t>
      </w:r>
    </w:p>
    <w:p w:rsidR="00FF5406" w:rsidRDefault="006A2875">
      <w:pPr>
        <w:spacing w:after="120"/>
        <w:jc w:val="center"/>
      </w:pPr>
      <w:r>
        <w:rPr>
          <w:b/>
          <w:color w:val="000000"/>
        </w:rPr>
        <w:t>Објављивање</w:t>
      </w:r>
    </w:p>
    <w:p w:rsidR="00FF5406" w:rsidRDefault="006A2875">
      <w:pPr>
        <w:spacing w:after="120"/>
        <w:jc w:val="center"/>
      </w:pPr>
      <w:r>
        <w:rPr>
          <w:color w:val="000000"/>
        </w:rPr>
        <w:t>Члан 22.</w:t>
      </w:r>
    </w:p>
    <w:p w:rsidR="00FF5406" w:rsidRDefault="006A2875">
      <w:pPr>
        <w:spacing w:after="150"/>
      </w:pPr>
      <w:r>
        <w:rPr>
          <w:color w:val="000000"/>
        </w:rPr>
        <w:t>Подаци и акти које надлежни орган, у складу са овом уредбом, објављује на својој званичној интернет страници и порталу е-Управa, морају се објавити и на огла</w:t>
      </w:r>
      <w:r>
        <w:rPr>
          <w:color w:val="000000"/>
        </w:rPr>
        <w:t>сној табли надлежног органа.</w:t>
      </w:r>
    </w:p>
    <w:p w:rsidR="00FF5406" w:rsidRDefault="006A2875">
      <w:pPr>
        <w:spacing w:after="120"/>
        <w:jc w:val="center"/>
      </w:pPr>
      <w:r>
        <w:rPr>
          <w:color w:val="000000"/>
        </w:rPr>
        <w:t>IV. ПРЕЛАЗНЕ И ЗАВРШНЕ ОДРЕДБЕ</w:t>
      </w:r>
    </w:p>
    <w:p w:rsidR="00FF5406" w:rsidRDefault="006A2875">
      <w:pPr>
        <w:spacing w:after="120"/>
        <w:jc w:val="center"/>
      </w:pPr>
      <w:r>
        <w:rPr>
          <w:b/>
          <w:color w:val="000000"/>
        </w:rPr>
        <w:t>Престанак важења ранијег прописа</w:t>
      </w:r>
    </w:p>
    <w:p w:rsidR="00FF5406" w:rsidRDefault="006A2875">
      <w:pPr>
        <w:spacing w:after="120"/>
        <w:jc w:val="center"/>
      </w:pPr>
      <w:r>
        <w:rPr>
          <w:color w:val="000000"/>
        </w:rPr>
        <w:t>Члан 23.</w:t>
      </w:r>
    </w:p>
    <w:p w:rsidR="00FF5406" w:rsidRDefault="006A2875">
      <w:pPr>
        <w:spacing w:after="150"/>
      </w:pPr>
      <w:r>
        <w:rPr>
          <w:color w:val="000000"/>
        </w:rPr>
        <w:t>Даном ступања на снагу ове уредбе престаје да важи Уредба о средствима за подстицање програма или недостајућег дела средстава за финансирање програма од ј</w:t>
      </w:r>
      <w:r>
        <w:rPr>
          <w:color w:val="000000"/>
        </w:rPr>
        <w:t>авног интереса која реализују удружења („Службени гласник РС”, бр. 8/12, 94/13 и 93/15).</w:t>
      </w:r>
    </w:p>
    <w:p w:rsidR="00FF5406" w:rsidRDefault="006A2875">
      <w:pPr>
        <w:spacing w:after="120"/>
        <w:jc w:val="center"/>
      </w:pPr>
      <w:r>
        <w:rPr>
          <w:b/>
          <w:color w:val="000000"/>
        </w:rPr>
        <w:t>Спровођење започетих поступака</w:t>
      </w:r>
    </w:p>
    <w:p w:rsidR="00FF5406" w:rsidRDefault="006A2875">
      <w:pPr>
        <w:spacing w:after="120"/>
        <w:jc w:val="center"/>
      </w:pPr>
      <w:r>
        <w:rPr>
          <w:color w:val="000000"/>
        </w:rPr>
        <w:t>Члан 24.</w:t>
      </w:r>
    </w:p>
    <w:p w:rsidR="00FF5406" w:rsidRDefault="006A2875">
      <w:pPr>
        <w:spacing w:after="150"/>
      </w:pPr>
      <w:r>
        <w:rPr>
          <w:color w:val="000000"/>
        </w:rPr>
        <w:t xml:space="preserve">Поступци доделе средстава који су отпочели пре ступања на снагу ове уредбе а нису окончани, спровешће се према прописима који </w:t>
      </w:r>
      <w:r>
        <w:rPr>
          <w:color w:val="000000"/>
        </w:rPr>
        <w:t>су важили пре ступања на снагу ове уредбе.</w:t>
      </w:r>
    </w:p>
    <w:p w:rsidR="00FF5406" w:rsidRDefault="006A2875">
      <w:pPr>
        <w:spacing w:after="120"/>
        <w:jc w:val="center"/>
      </w:pPr>
      <w:r>
        <w:rPr>
          <w:b/>
          <w:color w:val="000000"/>
        </w:rPr>
        <w:t>Ступање на снагу</w:t>
      </w:r>
    </w:p>
    <w:p w:rsidR="00FF5406" w:rsidRDefault="006A2875">
      <w:pPr>
        <w:spacing w:after="120"/>
        <w:jc w:val="center"/>
      </w:pPr>
      <w:r>
        <w:rPr>
          <w:color w:val="000000"/>
        </w:rPr>
        <w:t>Члан 25.</w:t>
      </w:r>
    </w:p>
    <w:p w:rsidR="00FF5406" w:rsidRDefault="006A2875">
      <w:pPr>
        <w:spacing w:after="150"/>
      </w:pPr>
      <w:r>
        <w:rPr>
          <w:color w:val="000000"/>
        </w:rPr>
        <w:t>Ова уредба ступа на снагу осмог дана од дана објављивања у „Службеном гласнику Републике Србије”.</w:t>
      </w:r>
    </w:p>
    <w:p w:rsidR="00FF5406" w:rsidRDefault="006A2875">
      <w:pPr>
        <w:spacing w:after="150"/>
        <w:jc w:val="right"/>
      </w:pPr>
      <w:r>
        <w:rPr>
          <w:color w:val="000000"/>
        </w:rPr>
        <w:t>05 број 110-1666/2018</w:t>
      </w:r>
    </w:p>
    <w:p w:rsidR="00FF5406" w:rsidRDefault="006A2875">
      <w:pPr>
        <w:spacing w:after="150"/>
        <w:jc w:val="right"/>
      </w:pPr>
      <w:r>
        <w:rPr>
          <w:color w:val="000000"/>
        </w:rPr>
        <w:t xml:space="preserve">У Београду, 1. </w:t>
      </w:r>
      <w:proofErr w:type="gramStart"/>
      <w:r>
        <w:rPr>
          <w:color w:val="000000"/>
        </w:rPr>
        <w:t>марта</w:t>
      </w:r>
      <w:proofErr w:type="gramEnd"/>
      <w:r>
        <w:rPr>
          <w:color w:val="000000"/>
        </w:rPr>
        <w:t xml:space="preserve"> 2018. </w:t>
      </w:r>
      <w:proofErr w:type="gramStart"/>
      <w:r>
        <w:rPr>
          <w:color w:val="000000"/>
        </w:rPr>
        <w:t>године</w:t>
      </w:r>
      <w:proofErr w:type="gramEnd"/>
    </w:p>
    <w:p w:rsidR="00FF5406" w:rsidRDefault="006A2875">
      <w:pPr>
        <w:spacing w:after="150"/>
        <w:jc w:val="right"/>
      </w:pPr>
      <w:r>
        <w:rPr>
          <w:b/>
          <w:color w:val="000000"/>
        </w:rPr>
        <w:t>Влада</w:t>
      </w:r>
    </w:p>
    <w:p w:rsidR="00FF5406" w:rsidRDefault="006A2875">
      <w:pPr>
        <w:spacing w:after="150"/>
        <w:jc w:val="right"/>
      </w:pPr>
      <w:r>
        <w:rPr>
          <w:color w:val="000000"/>
        </w:rPr>
        <w:t>Председник,</w:t>
      </w:r>
    </w:p>
    <w:p w:rsidR="00FF5406" w:rsidRDefault="006A2875">
      <w:pPr>
        <w:spacing w:after="150"/>
        <w:jc w:val="right"/>
      </w:pPr>
      <w:r>
        <w:rPr>
          <w:b/>
          <w:color w:val="000000"/>
        </w:rPr>
        <w:t>Ана Брнабић,</w:t>
      </w:r>
      <w:r>
        <w:rPr>
          <w:color w:val="000000"/>
        </w:rPr>
        <w:t xml:space="preserve"> с.</w:t>
      </w:r>
      <w:r>
        <w:rPr>
          <w:color w:val="000000"/>
        </w:rPr>
        <w:t>р.</w:t>
      </w:r>
      <w:bookmarkEnd w:id="0"/>
    </w:p>
    <w:sectPr w:rsidR="00FF54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06"/>
    <w:rsid w:val="006A2875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3C2A58-5A7B-4362-99F3-597984AF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2019-01-22T13:42:00Z</dcterms:created>
  <dcterms:modified xsi:type="dcterms:W3CDTF">2019-01-22T13:42:00Z</dcterms:modified>
</cp:coreProperties>
</file>