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B5E6" w14:textId="77777777"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  <w:bookmarkStart w:id="0" w:name="_GoBack"/>
      <w:bookmarkEnd w:id="0"/>
    </w:p>
    <w:p w14:paraId="4F783862" w14:textId="77777777"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14:paraId="5217DCF2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14:paraId="7884057B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6248A8B4" wp14:editId="187CF143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2A27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14:paraId="6F051EB7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14:paraId="327838C2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14:paraId="49264211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14:paraId="5BC16CFA" w14:textId="77777777" w:rsidR="00CF3C55" w:rsidRPr="00931BC2" w:rsidRDefault="001B4E00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ЈАВНИ ПОЗИВ</w:t>
      </w:r>
    </w:p>
    <w:p w14:paraId="267E94C1" w14:textId="77777777" w:rsidR="00CF3C55" w:rsidRPr="00931BC2" w:rsidRDefault="00CF3C55" w:rsidP="00CF3C55">
      <w:pPr>
        <w:ind w:firstLine="720"/>
        <w:rPr>
          <w:b/>
          <w:lang w:val="ru-RU"/>
        </w:rPr>
      </w:pPr>
    </w:p>
    <w:p w14:paraId="28CB32E0" w14:textId="166B76F2" w:rsidR="003C580A" w:rsidRDefault="00CF3C55" w:rsidP="003C580A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="00BC182C">
        <w:rPr>
          <w:lang w:val="sr-Cyrl-CS"/>
        </w:rPr>
        <w:t>СУБВЕНЦИЈА ЗА ПОДРШКУ РАДУ</w:t>
      </w:r>
    </w:p>
    <w:p w14:paraId="611D7319" w14:textId="7D72664A" w:rsidR="00CF3C55" w:rsidRPr="00931BC2" w:rsidRDefault="00BC182C" w:rsidP="003C580A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ХОТЕЛСКЕ ИНДУСТРИЈЕ СРБИЈЕ ЗБОГ ПОТЕШКОЋА У ПОСЛОВАЊУ ПРОУЗРОКОВАНИХ ЕПИДЕМИЈОМ БОЛЕСТИ </w:t>
      </w:r>
      <w:r>
        <w:rPr>
          <w:lang w:val="sr-Latn-RS"/>
        </w:rPr>
        <w:t>COVID-19</w:t>
      </w:r>
      <w:r>
        <w:rPr>
          <w:lang w:val="sr-Cyrl-RS"/>
        </w:rPr>
        <w:t xml:space="preserve"> ИЗАЗВАНЕ ВИРУСОМ</w:t>
      </w:r>
      <w:r>
        <w:rPr>
          <w:lang w:val="sr-Latn-RS"/>
        </w:rPr>
        <w:t xml:space="preserve"> SARS-CoV-2</w:t>
      </w:r>
    </w:p>
    <w:p w14:paraId="41D56EC2" w14:textId="77777777" w:rsidR="002D2051" w:rsidRPr="00931BC2" w:rsidRDefault="002D2051" w:rsidP="003C580A">
      <w:pPr>
        <w:ind w:firstLine="720"/>
        <w:jc w:val="center"/>
        <w:rPr>
          <w:lang w:val="sr-Cyrl-CS"/>
        </w:rPr>
      </w:pPr>
    </w:p>
    <w:p w14:paraId="3406D8CD" w14:textId="77777777"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14:paraId="05B7FF87" w14:textId="2BBE6087"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="00BC182C">
        <w:rPr>
          <w:lang w:val="sr-Cyrl-CS"/>
        </w:rPr>
        <w:t xml:space="preserve"> расписује јавни позив </w:t>
      </w:r>
      <w:r w:rsidRPr="00931BC2">
        <w:rPr>
          <w:lang w:val="sr-Cyrl-CS"/>
        </w:rPr>
        <w:t xml:space="preserve">за доделу </w:t>
      </w:r>
      <w:r w:rsidR="00BC182C" w:rsidRPr="00C95D54">
        <w:rPr>
          <w:lang w:val="sr-Cyrl-CS"/>
        </w:rPr>
        <w:t>субвенција</w:t>
      </w:r>
      <w:r w:rsidR="00BC182C" w:rsidRPr="00680943">
        <w:rPr>
          <w:lang w:val="sr-Cyrl-RS"/>
        </w:rPr>
        <w:t xml:space="preserve"> </w:t>
      </w:r>
      <w:r w:rsidR="00BC182C">
        <w:rPr>
          <w:lang w:val="sr-Cyrl-RS"/>
        </w:rPr>
        <w:t xml:space="preserve">за подршку раду хотелске индустрије Србије због потешкоћа у пословању проузрокованих епидемијом </w:t>
      </w:r>
      <w:r w:rsidR="00BC182C" w:rsidRPr="00F96F6B">
        <w:rPr>
          <w:lang w:val="sr-Cyrl-RS"/>
        </w:rPr>
        <w:t xml:space="preserve">болести </w:t>
      </w:r>
      <w:r w:rsidR="00BC182C" w:rsidRPr="00F96F6B">
        <w:rPr>
          <w:lang w:val="sr-Latn-RS"/>
        </w:rPr>
        <w:t xml:space="preserve">COVID-19 </w:t>
      </w:r>
      <w:r w:rsidR="00BC182C" w:rsidRPr="00F96F6B">
        <w:rPr>
          <w:lang w:val="sr-Cyrl-RS"/>
        </w:rPr>
        <w:t xml:space="preserve">изазване вирусом </w:t>
      </w:r>
      <w:r w:rsidR="00BC182C" w:rsidRPr="00F96F6B">
        <w:rPr>
          <w:lang w:val="sr-Latn-RS"/>
        </w:rPr>
        <w:t>SARS-CoV-2</w:t>
      </w:r>
      <w:r w:rsidR="00BC182C" w:rsidRPr="00C95D54">
        <w:rPr>
          <w:lang w:val="sr-Cyrl-CS"/>
        </w:rPr>
        <w:t xml:space="preserve"> </w:t>
      </w:r>
      <w:r w:rsidR="00086E7A" w:rsidRPr="00931BC2">
        <w:rPr>
          <w:lang w:val="sr-Cyrl-CS"/>
        </w:rPr>
        <w:t>до износа</w:t>
      </w:r>
      <w:r w:rsidR="00D524D0" w:rsidRPr="00931BC2">
        <w:rPr>
          <w:lang w:val="sr-Cyrl-CS"/>
        </w:rPr>
        <w:t xml:space="preserve"> </w:t>
      </w:r>
      <w:r w:rsidR="00BC182C">
        <w:rPr>
          <w:lang w:val="sr-Cyrl-RS"/>
        </w:rPr>
        <w:t>1.</w:t>
      </w:r>
      <w:r w:rsidR="003C580A">
        <w:rPr>
          <w:lang w:val="sr-Latn-RS"/>
        </w:rPr>
        <w:t>460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20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14:paraId="7ED2835B" w14:textId="77777777" w:rsidR="002D2051" w:rsidRPr="00931BC2" w:rsidRDefault="002D2051" w:rsidP="00CF3C55">
      <w:pPr>
        <w:ind w:firstLine="720"/>
        <w:jc w:val="both"/>
        <w:rPr>
          <w:lang w:val="sr-Cyrl-RS"/>
        </w:rPr>
      </w:pPr>
    </w:p>
    <w:p w14:paraId="6D06256E" w14:textId="17E79E47" w:rsidR="00CF3C55" w:rsidRDefault="001D2015" w:rsidP="00CF3C5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Начин коришћења</w:t>
      </w:r>
      <w:r w:rsidR="00CF3C55" w:rsidRPr="00931BC2">
        <w:rPr>
          <w:b/>
          <w:lang w:val="sr-Cyrl-CS"/>
        </w:rPr>
        <w:t xml:space="preserve"> средстава</w:t>
      </w:r>
    </w:p>
    <w:p w14:paraId="1FD6D20B" w14:textId="77777777" w:rsidR="00BC182C" w:rsidRDefault="00BC182C" w:rsidP="00CF3C55">
      <w:pPr>
        <w:ind w:firstLine="720"/>
        <w:jc w:val="center"/>
        <w:rPr>
          <w:b/>
          <w:lang w:val="sr-Cyrl-CS"/>
        </w:rPr>
      </w:pPr>
    </w:p>
    <w:p w14:paraId="3BA2E84E" w14:textId="77777777" w:rsidR="003C580A" w:rsidRDefault="003C580A" w:rsidP="003C580A">
      <w:pPr>
        <w:ind w:firstLine="720"/>
        <w:jc w:val="both"/>
        <w:rPr>
          <w:lang w:val="sr-Cyrl-CS"/>
        </w:rPr>
      </w:pPr>
      <w:r w:rsidRPr="00C95D54">
        <w:rPr>
          <w:lang w:val="sr-Cyrl-CS"/>
        </w:rPr>
        <w:t>Средства утврђена овим програмом додељују</w:t>
      </w:r>
      <w:r w:rsidRPr="00C95D54">
        <w:rPr>
          <w:lang w:val="sr-Latn-CS"/>
        </w:rPr>
        <w:t xml:space="preserve"> </w:t>
      </w:r>
      <w:r w:rsidRPr="00C95D54">
        <w:rPr>
          <w:lang w:val="sr-Cyrl-CS"/>
        </w:rPr>
        <w:t>се бесповратно.</w:t>
      </w:r>
      <w:r>
        <w:rPr>
          <w:lang w:val="sr-Cyrl-CS"/>
        </w:rPr>
        <w:t xml:space="preserve"> </w:t>
      </w:r>
    </w:p>
    <w:p w14:paraId="73B6CA14" w14:textId="77777777" w:rsidR="003C580A" w:rsidRDefault="003C580A" w:rsidP="003C580A">
      <w:pPr>
        <w:ind w:firstLine="720"/>
        <w:jc w:val="both"/>
        <w:rPr>
          <w:lang w:val="sr-Cyrl-CS"/>
        </w:rPr>
      </w:pPr>
      <w:r>
        <w:rPr>
          <w:lang w:val="sr-Cyrl-CS"/>
        </w:rPr>
        <w:t>Исплату средстава привредним субјектима вршиће министарство надлежно за послове туризма (у даљем тексту: Министарство)</w:t>
      </w:r>
    </w:p>
    <w:p w14:paraId="467367FD" w14:textId="77777777" w:rsidR="003C580A" w:rsidRPr="007276C6" w:rsidRDefault="003C580A" w:rsidP="003C580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Средстава се додељују у износу 350 ЕУР по индивидуалном лежају и 150 ЕУР по смештајној јединици у динарској противвредности обрачунатој по средњем курсу Народне банке Србије на </w:t>
      </w:r>
      <w:r w:rsidRPr="007276C6">
        <w:t>на дан када је државна помоћ додељена</w:t>
      </w:r>
      <w:r w:rsidRPr="007276C6">
        <w:rPr>
          <w:lang w:val="sr-Cyrl-CS"/>
        </w:rPr>
        <w:t>.</w:t>
      </w:r>
    </w:p>
    <w:p w14:paraId="54691F2A" w14:textId="77777777" w:rsidR="003C580A" w:rsidRDefault="003C580A" w:rsidP="003C580A">
      <w:pPr>
        <w:jc w:val="both"/>
        <w:rPr>
          <w:lang w:val="sr-Cyrl-CS"/>
        </w:rPr>
      </w:pPr>
      <w:r>
        <w:rPr>
          <w:lang w:val="sr-Cyrl-CS"/>
        </w:rPr>
        <w:tab/>
        <w:t xml:space="preserve">Максималан износ средстава који се може одобрити подносиоцу захтева не може бити већи од износа који се добија обрачуном индивидуалних лежајева и смештајних јединица из </w:t>
      </w:r>
      <w:r>
        <w:rPr>
          <w:lang w:val="sr-Cyrl-RS"/>
        </w:rPr>
        <w:t>документације на основу које се доноси решење</w:t>
      </w:r>
      <w:r>
        <w:rPr>
          <w:lang w:val="sr-Cyrl-CS"/>
        </w:rPr>
        <w:t xml:space="preserve"> о категоризацији хотела од стране Министарства и наведених појединачних износа субвенција по индивидуалном лежају и смештајној јединици, под условом да </w:t>
      </w:r>
      <w:r w:rsidRPr="004360CD">
        <w:t xml:space="preserve">номинални износ појединачне </w:t>
      </w:r>
      <w:r>
        <w:rPr>
          <w:lang w:val="sr-Cyrl-RS"/>
        </w:rPr>
        <w:t>субвенције</w:t>
      </w:r>
      <w:r w:rsidRPr="004360CD">
        <w:t xml:space="preserve"> по </w:t>
      </w:r>
      <w:r>
        <w:rPr>
          <w:lang w:val="sr-Cyrl-RS"/>
        </w:rPr>
        <w:t>кориснику</w:t>
      </w:r>
      <w:r w:rsidRPr="004360CD">
        <w:t xml:space="preserve"> не прелази </w:t>
      </w:r>
      <w:r>
        <w:rPr>
          <w:lang w:val="sr-Cyrl-RS"/>
        </w:rPr>
        <w:t>750</w:t>
      </w:r>
      <w:r w:rsidRPr="004360CD">
        <w:t xml:space="preserve">.000 </w:t>
      </w:r>
      <w:r>
        <w:rPr>
          <w:lang w:val="sr-Cyrl-RS"/>
        </w:rPr>
        <w:t xml:space="preserve">ЕУР </w:t>
      </w:r>
      <w:r w:rsidRPr="004360CD">
        <w:t>у</w:t>
      </w:r>
      <w:r>
        <w:rPr>
          <w:lang w:val="sr-Cyrl-RS"/>
        </w:rPr>
        <w:t xml:space="preserve"> </w:t>
      </w:r>
      <w:r w:rsidRPr="004360CD">
        <w:t>динарској противвредности</w:t>
      </w:r>
      <w:r>
        <w:rPr>
          <w:lang w:val="sr-Cyrl-RS"/>
        </w:rPr>
        <w:t xml:space="preserve"> </w:t>
      </w:r>
      <w:r w:rsidRPr="004360CD">
        <w:t>по средњем курсу Народне банке Србије на дан када је државна помоћ додељена</w:t>
      </w:r>
      <w:r w:rsidRPr="004360CD">
        <w:rPr>
          <w:lang w:val="sr-Cyrl-CS"/>
        </w:rPr>
        <w:t>.</w:t>
      </w:r>
    </w:p>
    <w:p w14:paraId="62B43B72" w14:textId="7D6A33C9" w:rsidR="003C580A" w:rsidRDefault="003C580A" w:rsidP="003C580A">
      <w:pPr>
        <w:jc w:val="both"/>
        <w:rPr>
          <w:lang w:val="sr-Cyrl-RS"/>
        </w:rPr>
      </w:pPr>
      <w:r>
        <w:rPr>
          <w:lang w:val="sr-Cyrl-CS"/>
        </w:rPr>
        <w:tab/>
        <w:t xml:space="preserve"> </w:t>
      </w:r>
      <w:r w:rsidRPr="00F07656">
        <w:rPr>
          <w:lang w:val="sr-Cyrl-CS"/>
        </w:rPr>
        <w:t>Одобрена средства субвенција уплаћиваће се  корисницима на посебне наменске динарске рачуне отворене код Управе за трезo</w:t>
      </w:r>
      <w:r w:rsidRPr="00F07656">
        <w:rPr>
          <w:lang w:val="sr-Cyrl-RS"/>
        </w:rPr>
        <w:t>р</w:t>
      </w:r>
      <w:r>
        <w:rPr>
          <w:lang w:val="sr-Cyrl-RS"/>
        </w:rPr>
        <w:t>.</w:t>
      </w:r>
    </w:p>
    <w:p w14:paraId="5D5370C8" w14:textId="77777777" w:rsidR="00EB4BDF" w:rsidRPr="00EB4BDF" w:rsidRDefault="00EB4BDF" w:rsidP="00EB4BDF">
      <w:pPr>
        <w:jc w:val="both"/>
        <w:rPr>
          <w:lang w:val="sr-Cyrl-CS"/>
        </w:rPr>
      </w:pPr>
    </w:p>
    <w:p w14:paraId="0599423E" w14:textId="77777777" w:rsidR="00BD5959" w:rsidRDefault="00BD5959" w:rsidP="00BC182C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    </w:t>
      </w:r>
    </w:p>
    <w:p w14:paraId="7E570EF9" w14:textId="77777777" w:rsidR="00BD5959" w:rsidRDefault="00BD5959" w:rsidP="00BC182C">
      <w:pPr>
        <w:ind w:firstLine="720"/>
        <w:jc w:val="center"/>
        <w:rPr>
          <w:b/>
          <w:lang w:val="sr-Cyrl-RS"/>
        </w:rPr>
      </w:pPr>
    </w:p>
    <w:p w14:paraId="5A7F3B49" w14:textId="77777777" w:rsidR="00BD5959" w:rsidRDefault="00BD5959" w:rsidP="00BC182C">
      <w:pPr>
        <w:ind w:firstLine="720"/>
        <w:jc w:val="center"/>
        <w:rPr>
          <w:b/>
          <w:lang w:val="sr-Cyrl-RS"/>
        </w:rPr>
      </w:pPr>
    </w:p>
    <w:p w14:paraId="30129820" w14:textId="6CE64F5B" w:rsidR="00CF3C55" w:rsidRDefault="003C580A" w:rsidP="00BC182C">
      <w:pPr>
        <w:ind w:firstLine="720"/>
        <w:jc w:val="center"/>
        <w:rPr>
          <w:b/>
          <w:lang w:val="sr-Cyrl-CS"/>
        </w:rPr>
      </w:pPr>
      <w:r>
        <w:rPr>
          <w:b/>
          <w:lang w:val="sr-Cyrl-RS"/>
        </w:rPr>
        <w:lastRenderedPageBreak/>
        <w:t>Право на коришћење средстава и услови</w:t>
      </w:r>
    </w:p>
    <w:p w14:paraId="5462DC57" w14:textId="77777777" w:rsidR="00BC182C" w:rsidRPr="00BC182C" w:rsidRDefault="00BC182C" w:rsidP="00BC182C">
      <w:pPr>
        <w:ind w:firstLine="720"/>
        <w:jc w:val="center"/>
        <w:rPr>
          <w:b/>
          <w:lang w:val="sr-Cyrl-CS"/>
        </w:rPr>
      </w:pPr>
    </w:p>
    <w:p w14:paraId="2F304EF5" w14:textId="77777777" w:rsidR="003C580A" w:rsidRPr="003C580A" w:rsidRDefault="003C580A" w:rsidP="003C580A">
      <w:pPr>
        <w:tabs>
          <w:tab w:val="left" w:pos="1080"/>
        </w:tabs>
        <w:ind w:firstLine="720"/>
        <w:jc w:val="both"/>
        <w:rPr>
          <w:lang w:val="sr-Cyrl-CS"/>
        </w:rPr>
      </w:pPr>
    </w:p>
    <w:p w14:paraId="6B51D921" w14:textId="77777777" w:rsidR="003C580A" w:rsidRPr="003C580A" w:rsidRDefault="003C580A" w:rsidP="003C580A">
      <w:pPr>
        <w:tabs>
          <w:tab w:val="left" w:pos="1080"/>
        </w:tabs>
        <w:ind w:firstLine="720"/>
        <w:jc w:val="both"/>
        <w:rPr>
          <w:lang w:val="sr-Cyrl-CS"/>
        </w:rPr>
      </w:pPr>
      <w:r w:rsidRPr="003C580A">
        <w:rPr>
          <w:lang w:val="sr-Cyrl-CS"/>
        </w:rPr>
        <w:tab/>
        <w:t>Право на коришћење бесповратних средстава имају привредни субјекти у приватном сектору - сви привредни субјекти који нису обухваћени Правилником о Списку корисника јавних средстава („Службени гласник РС“ број 93/19), (у даљем тексту: Привредни субјекти),  и то:</w:t>
      </w:r>
    </w:p>
    <w:p w14:paraId="3E03B5CF" w14:textId="767B4B41" w:rsidR="003C580A" w:rsidRPr="003C580A" w:rsidRDefault="003C580A" w:rsidP="003C580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>резидентна правна лица у смислу закона који се уређује опорезивање добити правних лица;</w:t>
      </w:r>
    </w:p>
    <w:p w14:paraId="2F62928D" w14:textId="16D573E4" w:rsidR="003C580A" w:rsidRPr="003C580A" w:rsidRDefault="003C580A" w:rsidP="003C580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>резидентни предузетници у смислу закона којим се уређује порез на доходак грађана;</w:t>
      </w:r>
    </w:p>
    <w:p w14:paraId="739D0895" w14:textId="5D6E9809" w:rsidR="003C580A" w:rsidRPr="003C580A" w:rsidRDefault="003C580A" w:rsidP="003C580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>огранци и представништва страних правних лица.</w:t>
      </w:r>
    </w:p>
    <w:p w14:paraId="005CD4FF" w14:textId="77777777" w:rsidR="003C580A" w:rsidRPr="003C580A" w:rsidRDefault="003C580A" w:rsidP="003C580A">
      <w:pPr>
        <w:tabs>
          <w:tab w:val="left" w:pos="1080"/>
        </w:tabs>
        <w:ind w:firstLine="720"/>
        <w:jc w:val="both"/>
        <w:rPr>
          <w:lang w:val="sr-Cyrl-CS"/>
        </w:rPr>
      </w:pPr>
      <w:r w:rsidRPr="003C580A">
        <w:rPr>
          <w:lang w:val="sr-Cyrl-CS"/>
        </w:rPr>
        <w:t>Да би привредни субјекат остварио право на бесповратна средства, потребно је да испуни следеће услове:</w:t>
      </w:r>
    </w:p>
    <w:p w14:paraId="0463FDA0" w14:textId="274E1B09" w:rsidR="003C580A" w:rsidRPr="003C580A" w:rsidRDefault="003C580A" w:rsidP="003C580A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 xml:space="preserve">Привредни субјекат је носилац решења о категоризацији или подносилац захтева за категоризацију који је упућен Министарству закључно са 01.09.2020. године, за хотел који се налази на подручју јединица локалне самоуправе са списка који је саставни део </w:t>
      </w:r>
      <w:r w:rsidR="000E0472">
        <w:rPr>
          <w:lang w:val="sr-Cyrl-CS"/>
        </w:rPr>
        <w:t>Јавног позива</w:t>
      </w:r>
      <w:r w:rsidRPr="003C580A">
        <w:rPr>
          <w:lang w:val="sr-Cyrl-CS"/>
        </w:rPr>
        <w:t>;</w:t>
      </w:r>
    </w:p>
    <w:p w14:paraId="0B05A571" w14:textId="7D52236A" w:rsidR="003C580A" w:rsidRPr="003C580A" w:rsidRDefault="003C580A" w:rsidP="003C580A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>Над привредним субјектом није покренут стечајни поступак;</w:t>
      </w:r>
    </w:p>
    <w:p w14:paraId="72A89861" w14:textId="636F4AE8" w:rsidR="003C580A" w:rsidRPr="003C580A" w:rsidRDefault="003C580A" w:rsidP="003C580A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>Над привредним субјектом се не спроводи поступак за унапред припремљени план реорганизације или да на снази нису мере из унапред припремљеног плана реорганизације (УППР);</w:t>
      </w:r>
    </w:p>
    <w:p w14:paraId="48EAC154" w14:textId="53C606E2" w:rsidR="003C580A" w:rsidRPr="003C580A" w:rsidRDefault="003C580A" w:rsidP="003C580A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lang w:val="sr-Cyrl-CS"/>
        </w:rPr>
      </w:pPr>
      <w:r w:rsidRPr="003C580A">
        <w:rPr>
          <w:lang w:val="sr-Cyrl-CS"/>
        </w:rPr>
        <w:t>Над привредним субјектом се не спроводи план реорганизације или да на снази нису мере из плана реорганизације, финансијско реструкту</w:t>
      </w:r>
      <w:r w:rsidR="00537869">
        <w:rPr>
          <w:lang w:val="sr-Cyrl-CS"/>
        </w:rPr>
        <w:t>рирање или поступак ликвидације.</w:t>
      </w:r>
    </w:p>
    <w:p w14:paraId="71078DF4" w14:textId="3BDA56B9" w:rsidR="003C580A" w:rsidRPr="003C580A" w:rsidRDefault="003C580A" w:rsidP="003C580A">
      <w:pPr>
        <w:tabs>
          <w:tab w:val="left" w:pos="1080"/>
        </w:tabs>
        <w:ind w:firstLine="720"/>
        <w:jc w:val="both"/>
        <w:rPr>
          <w:lang w:val="sr-Cyrl-CS"/>
        </w:rPr>
      </w:pPr>
      <w:r w:rsidRPr="003C580A">
        <w:rPr>
          <w:lang w:val="sr-Cyrl-CS"/>
        </w:rPr>
        <w:t>Привредни субјекат гу</w:t>
      </w:r>
      <w:r w:rsidR="001D2015">
        <w:rPr>
          <w:lang w:val="sr-Cyrl-CS"/>
        </w:rPr>
        <w:t>би право на коришћење субвенције</w:t>
      </w:r>
      <w:r w:rsidRPr="003C580A">
        <w:rPr>
          <w:lang w:val="sr-Cyrl-CS"/>
        </w:rPr>
        <w:t xml:space="preserve"> уколико смањи број запослених за више од 10%, у периоду од 15.08.2020. године закључно са 31.12.2020. године, не рачунајући запослене који су са привредним субјектом закључили уговор о раду на одређено време пре 15.08.2020. године за период који се завршава  у периоду од 15.08.2020. године до 31.12.2020. године. Проверу овог услова за доделу  вршиће Министарство финансија, о чему ће, у случају неиспуњења, обавестити Министарство, које ће, даље, захтевати повраћај одобрених бесповратних средстава од привредног субјекта. Привредни субјекат, у том случају, је дужан да изврши повраћај субвенција са каматом обрачунатом по стопи по којој се врши обрачун камате за кашњење у исплати пореских обавеза, почев од дана када су му уплаћена средства, најкасније у року од 30 дана од дана престанка права на коришћење субвенција.</w:t>
      </w:r>
    </w:p>
    <w:p w14:paraId="49DDACB2" w14:textId="77777777" w:rsidR="003C580A" w:rsidRPr="003C580A" w:rsidRDefault="003C580A" w:rsidP="003C580A">
      <w:pPr>
        <w:tabs>
          <w:tab w:val="left" w:pos="1080"/>
        </w:tabs>
        <w:ind w:firstLine="720"/>
        <w:jc w:val="both"/>
        <w:rPr>
          <w:lang w:val="sr-Cyrl-CS"/>
        </w:rPr>
      </w:pPr>
      <w:r w:rsidRPr="003C580A">
        <w:rPr>
          <w:lang w:val="sr-Cyrl-CS"/>
        </w:rPr>
        <w:t>Повраћај субвенција из претходног става, привредни субјекат ће извршити на рачун извршења буџета РС.</w:t>
      </w:r>
    </w:p>
    <w:p w14:paraId="2360C9DD" w14:textId="77777777" w:rsidR="002D2051" w:rsidRPr="00931BC2" w:rsidRDefault="002D2051" w:rsidP="00CF3C55">
      <w:pPr>
        <w:tabs>
          <w:tab w:val="left" w:pos="1080"/>
        </w:tabs>
        <w:ind w:firstLine="720"/>
        <w:jc w:val="both"/>
        <w:rPr>
          <w:lang w:val="sr-Cyrl-CS"/>
        </w:rPr>
      </w:pPr>
    </w:p>
    <w:p w14:paraId="532CECDE" w14:textId="224B1B29"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14:paraId="365DCB7D" w14:textId="77777777" w:rsidR="003C580A" w:rsidRDefault="003C580A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14:paraId="5F668A4D" w14:textId="638744B4" w:rsidR="003C580A" w:rsidRDefault="003C580A" w:rsidP="003C580A">
      <w:pPr>
        <w:ind w:firstLine="720"/>
        <w:jc w:val="both"/>
        <w:rPr>
          <w:rStyle w:val="Hyperlink"/>
          <w:bCs/>
          <w:lang w:val="sr-Latn-RS"/>
        </w:rPr>
      </w:pPr>
      <w:r>
        <w:rPr>
          <w:lang w:val="sr-Cyrl-CS"/>
        </w:rPr>
        <w:t xml:space="preserve">Образац захтева за коришћење средстава се може преузети са </w:t>
      </w:r>
      <w:r>
        <w:rPr>
          <w:bCs/>
          <w:lang w:val="ru-RU"/>
        </w:rPr>
        <w:t xml:space="preserve">званичне интернет презентацији Министарства </w:t>
      </w:r>
      <w:hyperlink r:id="rId6" w:history="1">
        <w:r w:rsidRPr="008C113E">
          <w:rPr>
            <w:rStyle w:val="Hyperlink"/>
            <w:bCs/>
            <w:lang w:val="sr-Latn-RS"/>
          </w:rPr>
          <w:t>www.mtt.gov.rs</w:t>
        </w:r>
      </w:hyperlink>
      <w:r w:rsidR="000E0472">
        <w:rPr>
          <w:rStyle w:val="Hyperlink"/>
          <w:bCs/>
          <w:lang w:val="sr-Latn-RS"/>
        </w:rPr>
        <w:t>.</w:t>
      </w:r>
    </w:p>
    <w:p w14:paraId="204D73D9" w14:textId="35039E88" w:rsidR="000E0472" w:rsidRDefault="000E0472" w:rsidP="000E0472">
      <w:pPr>
        <w:ind w:firstLine="720"/>
        <w:jc w:val="both"/>
        <w:rPr>
          <w:lang w:val="sr-Cyrl-CS"/>
        </w:rPr>
      </w:pPr>
      <w:r w:rsidRPr="00C95D54">
        <w:rPr>
          <w:lang w:val="sr-Cyrl-CS"/>
        </w:rPr>
        <w:t xml:space="preserve">Захтеви за коришћење </w:t>
      </w:r>
      <w:r>
        <w:rPr>
          <w:lang w:val="sr-Cyrl-CS"/>
        </w:rPr>
        <w:t xml:space="preserve">бесповратних средстава </w:t>
      </w:r>
      <w:r w:rsidRPr="00C95D54">
        <w:rPr>
          <w:lang w:val="sr-Cyrl-CS"/>
        </w:rPr>
        <w:t xml:space="preserve">подносе се </w:t>
      </w:r>
      <w:r>
        <w:rPr>
          <w:lang w:val="sr-Cyrl-CS"/>
        </w:rPr>
        <w:t>М</w:t>
      </w:r>
      <w:r w:rsidRPr="00C95D54">
        <w:rPr>
          <w:lang w:val="sr-Cyrl-CS"/>
        </w:rPr>
        <w:t>инистарству</w:t>
      </w:r>
      <w:r>
        <w:t xml:space="preserve"> </w:t>
      </w:r>
      <w:r>
        <w:rPr>
          <w:lang w:val="sr-Cyrl-RS"/>
        </w:rPr>
        <w:t xml:space="preserve">на адресу: </w:t>
      </w:r>
      <w:r w:rsidR="00C136BF">
        <w:rPr>
          <w:lang w:val="sr-Cyrl-RS"/>
        </w:rPr>
        <w:t>Омладинских бригада</w:t>
      </w:r>
      <w:r w:rsidR="00B14BC1">
        <w:rPr>
          <w:lang w:val="sr-Latn-RS"/>
        </w:rPr>
        <w:t xml:space="preserve"> 1</w:t>
      </w:r>
      <w:r>
        <w:rPr>
          <w:lang w:val="sr-Cyrl-RS"/>
        </w:rPr>
        <w:t>, 110</w:t>
      </w:r>
      <w:r w:rsidR="00C136BF">
        <w:rPr>
          <w:lang w:val="sr-Cyrl-RS"/>
        </w:rPr>
        <w:t>7</w:t>
      </w:r>
      <w:r>
        <w:rPr>
          <w:lang w:val="sr-Cyrl-RS"/>
        </w:rPr>
        <w:t>0</w:t>
      </w:r>
      <w:r w:rsidR="00C136BF">
        <w:rPr>
          <w:lang w:val="sr-Cyrl-RS"/>
        </w:rPr>
        <w:t xml:space="preserve"> Нови</w:t>
      </w:r>
      <w:r>
        <w:rPr>
          <w:lang w:val="sr-Cyrl-RS"/>
        </w:rPr>
        <w:t xml:space="preserve"> Београд</w:t>
      </w:r>
      <w:r w:rsidRPr="00C95D54">
        <w:rPr>
          <w:lang w:val="sr-Cyrl-CS"/>
        </w:rPr>
        <w:t>.</w:t>
      </w:r>
    </w:p>
    <w:p w14:paraId="54957924" w14:textId="7AD879B8" w:rsidR="003C580A" w:rsidRDefault="003C580A" w:rsidP="003C580A">
      <w:pPr>
        <w:ind w:firstLine="720"/>
        <w:jc w:val="both"/>
      </w:pPr>
      <w:r>
        <w:rPr>
          <w:lang w:val="sr-Cyrl-CS"/>
        </w:rPr>
        <w:lastRenderedPageBreak/>
        <w:t xml:space="preserve">Рок за подношење захтева је </w:t>
      </w:r>
      <w:r w:rsidR="00A20178" w:rsidRPr="00A20178">
        <w:t>15</w:t>
      </w:r>
      <w:r w:rsidRPr="00A20178">
        <w:rPr>
          <w:lang w:val="sr-Cyrl-CS"/>
        </w:rPr>
        <w:t>. септембар 2020. године</w:t>
      </w:r>
      <w:r w:rsidR="000E0472" w:rsidRPr="00A20178">
        <w:t>.</w:t>
      </w:r>
    </w:p>
    <w:p w14:paraId="3E6799DA" w14:textId="77777777" w:rsidR="000E0472" w:rsidRDefault="000E0472" w:rsidP="000E047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>
        <w:rPr>
          <w:rFonts w:ascii="TimesNewRomanPSMT" w:hAnsi="TimesNewRomanPSMT" w:cs="TimesNewRomanPSMT"/>
          <w:color w:val="000000"/>
          <w:lang w:val="ru-RU"/>
        </w:rPr>
        <w:t>Неблаговремени и непотпуни захтеви неће бити узети у разматрање.</w:t>
      </w:r>
    </w:p>
    <w:p w14:paraId="0A3A9F3D" w14:textId="77777777" w:rsidR="003C580A" w:rsidRDefault="003C580A" w:rsidP="003C580A">
      <w:pPr>
        <w:ind w:firstLine="720"/>
        <w:jc w:val="both"/>
        <w:rPr>
          <w:lang w:val="sr-Cyrl-CS"/>
        </w:rPr>
      </w:pPr>
      <w:r>
        <w:rPr>
          <w:lang w:val="sr-Cyrl-CS"/>
        </w:rPr>
        <w:t>Ради утврђивања предлога о стављању на располагање бесповратних средстава,  министар надлежан за послове туризма решењем образује Комисију са задатком утврђивања предлога о стављању на располагање бесповратних средстава корисницима који испуњавају прописане услове</w:t>
      </w:r>
    </w:p>
    <w:p w14:paraId="6E045A5F" w14:textId="77777777" w:rsidR="00134739" w:rsidRPr="00931BC2" w:rsidRDefault="00134739" w:rsidP="00CF3C55">
      <w:pPr>
        <w:jc w:val="both"/>
        <w:rPr>
          <w:rFonts w:cs="CTimesRoman"/>
          <w:lang w:val="sr-Cyrl-CS"/>
        </w:rPr>
      </w:pPr>
    </w:p>
    <w:p w14:paraId="56F71D23" w14:textId="77777777" w:rsidR="001D2015" w:rsidRDefault="001D2015" w:rsidP="00134739">
      <w:pPr>
        <w:jc w:val="center"/>
        <w:rPr>
          <w:rFonts w:cs="CTimesRoman"/>
          <w:b/>
          <w:lang w:val="sr-Cyrl-CS"/>
        </w:rPr>
      </w:pPr>
    </w:p>
    <w:p w14:paraId="380BDCA8" w14:textId="423DC68E" w:rsidR="00134739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14:paraId="056278C4" w14:textId="77777777" w:rsidR="003C580A" w:rsidRPr="00931BC2" w:rsidRDefault="003C580A" w:rsidP="00134739">
      <w:pPr>
        <w:jc w:val="center"/>
        <w:rPr>
          <w:rFonts w:cs="CTimesRoman"/>
          <w:b/>
          <w:lang w:val="sr-Cyrl-CS"/>
        </w:rPr>
      </w:pPr>
    </w:p>
    <w:p w14:paraId="03B525A7" w14:textId="0E4A4687" w:rsidR="00016992" w:rsidRPr="00931BC2" w:rsidRDefault="003C580A" w:rsidP="003C580A">
      <w:pPr>
        <w:jc w:val="both"/>
        <w:rPr>
          <w:rFonts w:asciiTheme="minorHAnsi" w:hAnsiTheme="minorHAnsi"/>
          <w:lang w:val="sr-Latn-RS"/>
        </w:rPr>
      </w:pPr>
      <w:r>
        <w:tab/>
      </w:r>
      <w:r w:rsidR="00CF3C55"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="00CF3C55" w:rsidRPr="00931BC2">
        <w:rPr>
          <w:rFonts w:ascii="TimesNewRomanPS-BoldMT" w:hAnsi="TimesNewRomanPS-BoldMT" w:cs="TimesNewRomanPS-BoldMT"/>
          <w:bCs/>
          <w:lang w:val="ru-RU"/>
        </w:rPr>
        <w:t>могу добити на телефон</w:t>
      </w:r>
      <w:r w:rsidR="00A20178">
        <w:rPr>
          <w:rFonts w:ascii="TimesNewRomanPS-BoldMT" w:hAnsi="TimesNewRomanPS-BoldMT" w:cs="TimesNewRomanPS-BoldMT"/>
          <w:bCs/>
        </w:rPr>
        <w:t>e</w:t>
      </w:r>
      <w:r w:rsidR="00CF3C55" w:rsidRPr="00931BC2">
        <w:rPr>
          <w:rFonts w:ascii="TimesNewRomanPS-BoldMT" w:hAnsi="TimesNewRomanPS-BoldMT" w:cs="TimesNewRomanPS-BoldMT"/>
          <w:bCs/>
          <w:lang w:val="ru-RU"/>
        </w:rPr>
        <w:t xml:space="preserve">: </w:t>
      </w:r>
      <w:r w:rsidR="00A20178">
        <w:rPr>
          <w:rFonts w:ascii="TimesNewRomanPS-BoldMT" w:hAnsi="TimesNewRomanPS-BoldMT" w:cs="TimesNewRomanPS-BoldMT"/>
          <w:bCs/>
          <w:lang w:val="ru-RU"/>
        </w:rPr>
        <w:t xml:space="preserve">011/3139668  и </w:t>
      </w:r>
      <w:r w:rsidR="002C414B">
        <w:rPr>
          <w:rFonts w:ascii="TimesNewRomanPS-BoldMT" w:hAnsi="TimesNewRomanPS-BoldMT" w:cs="TimesNewRomanPS-BoldMT"/>
          <w:bCs/>
          <w:lang w:val="ru-RU"/>
        </w:rPr>
        <w:t>011/</w:t>
      </w:r>
      <w:r w:rsidR="00A20178">
        <w:rPr>
          <w:rFonts w:ascii="TimesNewRomanPS-BoldMT" w:hAnsi="TimesNewRomanPS-BoldMT" w:cs="TimesNewRomanPS-BoldMT"/>
          <w:bCs/>
          <w:lang w:val="ru-RU"/>
        </w:rPr>
        <w:t>3139691</w:t>
      </w:r>
      <w:r w:rsidR="002C414B">
        <w:rPr>
          <w:rFonts w:ascii="TimesNewRomanPS-BoldMT" w:hAnsi="TimesNewRomanPS-BoldMT" w:cs="TimesNewRomanPS-BoldMT"/>
          <w:bCs/>
          <w:lang w:val="ru-RU"/>
        </w:rPr>
        <w:t>.</w:t>
      </w:r>
    </w:p>
    <w:p w14:paraId="57723016" w14:textId="77777777" w:rsidR="00CF3C55" w:rsidRPr="00931BC2" w:rsidRDefault="00CF3C55" w:rsidP="00CF3C5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14:paraId="52ABB394" w14:textId="77777777" w:rsidR="00CF3C55" w:rsidRPr="00931BC2" w:rsidRDefault="00CF3C55" w:rsidP="00CF3C55">
      <w:pPr>
        <w:rPr>
          <w:lang w:val="ru-RU"/>
        </w:rPr>
      </w:pPr>
    </w:p>
    <w:p w14:paraId="20150AB6" w14:textId="77777777" w:rsidR="00CF3C55" w:rsidRPr="00931BC2" w:rsidRDefault="00CF3C55" w:rsidP="00CF3C55">
      <w:pPr>
        <w:rPr>
          <w:lang w:val="ru-RU"/>
        </w:rPr>
      </w:pPr>
    </w:p>
    <w:sectPr w:rsidR="00CF3C55" w:rsidRPr="00931BC2" w:rsidSect="00B14BC1">
      <w:pgSz w:w="12240" w:h="15840"/>
      <w:pgMar w:top="15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C18"/>
    <w:multiLevelType w:val="hybridMultilevel"/>
    <w:tmpl w:val="C33EB34E"/>
    <w:lvl w:ilvl="0" w:tplc="A140B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D5AF2"/>
    <w:multiLevelType w:val="hybridMultilevel"/>
    <w:tmpl w:val="A8B6DAC0"/>
    <w:lvl w:ilvl="0" w:tplc="E0A23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025241"/>
    <w:multiLevelType w:val="hybridMultilevel"/>
    <w:tmpl w:val="49943626"/>
    <w:lvl w:ilvl="0" w:tplc="7676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0E0472"/>
    <w:rsid w:val="00134739"/>
    <w:rsid w:val="0015555C"/>
    <w:rsid w:val="001B4E00"/>
    <w:rsid w:val="001C71D8"/>
    <w:rsid w:val="001D0B39"/>
    <w:rsid w:val="001D1A61"/>
    <w:rsid w:val="001D2015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67166"/>
    <w:rsid w:val="00276684"/>
    <w:rsid w:val="00280D58"/>
    <w:rsid w:val="002C414B"/>
    <w:rsid w:val="002D2051"/>
    <w:rsid w:val="002D4F55"/>
    <w:rsid w:val="002E6D39"/>
    <w:rsid w:val="003342B1"/>
    <w:rsid w:val="00395F1E"/>
    <w:rsid w:val="003C580A"/>
    <w:rsid w:val="004101BC"/>
    <w:rsid w:val="0043639B"/>
    <w:rsid w:val="00446ED5"/>
    <w:rsid w:val="004841E6"/>
    <w:rsid w:val="004F0018"/>
    <w:rsid w:val="005234A3"/>
    <w:rsid w:val="00532E20"/>
    <w:rsid w:val="00536219"/>
    <w:rsid w:val="00537869"/>
    <w:rsid w:val="005429A7"/>
    <w:rsid w:val="00584BF5"/>
    <w:rsid w:val="00591E60"/>
    <w:rsid w:val="005A2409"/>
    <w:rsid w:val="005C66A0"/>
    <w:rsid w:val="005E2A71"/>
    <w:rsid w:val="005E6EE4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20178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14BC1"/>
    <w:rsid w:val="00B92245"/>
    <w:rsid w:val="00BC182C"/>
    <w:rsid w:val="00BD5959"/>
    <w:rsid w:val="00BF4E5B"/>
    <w:rsid w:val="00C136BF"/>
    <w:rsid w:val="00C23901"/>
    <w:rsid w:val="00C519B7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4BDF"/>
    <w:rsid w:val="00EB74A9"/>
    <w:rsid w:val="00EC2EFF"/>
    <w:rsid w:val="00EC7371"/>
    <w:rsid w:val="00F06301"/>
    <w:rsid w:val="00F4712E"/>
    <w:rsid w:val="00F56967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8496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182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C18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Katarina Roganovic</cp:lastModifiedBy>
  <cp:revision>2</cp:revision>
  <cp:lastPrinted>2019-01-23T06:51:00Z</cp:lastPrinted>
  <dcterms:created xsi:type="dcterms:W3CDTF">2020-09-01T11:29:00Z</dcterms:created>
  <dcterms:modified xsi:type="dcterms:W3CDTF">2020-09-01T11:29:00Z</dcterms:modified>
</cp:coreProperties>
</file>